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8F8" w:rsidRDefault="00B078F8" w:rsidP="004E4D9C">
      <w:pPr>
        <w:pStyle w:val="Nadpis1"/>
        <w:jc w:val="both"/>
      </w:pPr>
      <w:r>
        <w:t>Dějepisectví humanismu a reformace</w:t>
      </w:r>
    </w:p>
    <w:p w:rsidR="00B078F8" w:rsidRPr="00B078F8" w:rsidRDefault="00B078F8" w:rsidP="004E4D9C">
      <w:pPr>
        <w:jc w:val="both"/>
      </w:pPr>
    </w:p>
    <w:p w:rsidR="00B078F8" w:rsidRPr="004E4D9C" w:rsidRDefault="00B078F8" w:rsidP="00805359">
      <w:pPr>
        <w:spacing w:line="360" w:lineRule="auto"/>
        <w:jc w:val="both"/>
        <w:rPr>
          <w:rFonts w:ascii="Times New Roman" w:hAnsi="Times New Roman" w:cs="Times New Roman"/>
          <w:sz w:val="28"/>
          <w:szCs w:val="28"/>
        </w:rPr>
      </w:pPr>
      <w:r w:rsidRPr="004E4D9C">
        <w:rPr>
          <w:rFonts w:ascii="Times New Roman" w:hAnsi="Times New Roman" w:cs="Times New Roman"/>
          <w:sz w:val="28"/>
          <w:szCs w:val="28"/>
        </w:rPr>
        <w:t>Církevní koncily prvé poloviny 15. století nejsou jen důležitou kapitolou obecných dějin. V  Kostnici, Basileji a poté Ferraře a Florencii, kde se sešli církevní hodnostáři a učenci z celé Evrop</w:t>
      </w:r>
      <w:r w:rsidR="004E4D9C">
        <w:rPr>
          <w:rFonts w:ascii="Times New Roman" w:hAnsi="Times New Roman" w:cs="Times New Roman"/>
          <w:sz w:val="28"/>
          <w:szCs w:val="28"/>
        </w:rPr>
        <w:t xml:space="preserve">y, probíhala netoliko jednání o </w:t>
      </w:r>
      <w:r w:rsidRPr="004E4D9C">
        <w:rPr>
          <w:rFonts w:ascii="Times New Roman" w:hAnsi="Times New Roman" w:cs="Times New Roman"/>
          <w:sz w:val="28"/>
          <w:szCs w:val="28"/>
        </w:rPr>
        <w:t>otázkách církevního uspořádání, nýbrž stejnou měrou také intenzivní intelektuální výměny. Hojně byly opisovány texty, své majitele měnily rukopisy, vyřčené myšlenky nalézaly ochotné posluchače. Pro hodnostáře ze severu otevíral kontakt s italskými učenci nové světy, což teprve při jednání o církevní unii se zástupci byzantské církve. Rozšiřovaly se obzory myšlenkové i jazykové – znalost řečtiny přestávala být výsadou, vedle ní se nesměle objevovala hebrejština a další biblické jazyky. Zintenzivnění kontaktů v rámci Evropy a objevy nových světů během zámořských výprav vnášely nové podněty do dějepisné práce, nejvýraznější změnou však byl bezesporu vynález knihtisku, který pronikavě zlevnil knihy a postaral se o jejich snadnou dostupnost. Tiskařské dílny po celé Evropě vydávaly oblíbené kroniky od antických autorů až po nedávnou minulost, a naplňovaly tak nejen širší potřebu po historických a zábavných pracích, ale i po textech podstatných pro vytváření církevního dogmatu v minulých staletích.</w:t>
      </w:r>
      <w:r w:rsidR="004E4D9C">
        <w:rPr>
          <w:rFonts w:ascii="Times New Roman" w:hAnsi="Times New Roman" w:cs="Times New Roman"/>
          <w:sz w:val="28"/>
          <w:szCs w:val="28"/>
        </w:rPr>
        <w:t xml:space="preserve"> </w:t>
      </w:r>
      <w:r w:rsidRPr="004E4D9C">
        <w:rPr>
          <w:rFonts w:ascii="Times New Roman" w:hAnsi="Times New Roman" w:cs="Times New Roman"/>
          <w:sz w:val="28"/>
          <w:szCs w:val="28"/>
        </w:rPr>
        <w:t xml:space="preserve">Hovoříme-li o renesančním dějepisectví, nelze začít s výkladem jinde než v městech na Apeninském poloostrově. Zde se rozvíjejí tři základní linie renesančního dějepisectví: narativní (literární), politická a kritická. Prvé šlo o znovuoživení antického dějepisectví v jeho literárních kvalitách a v klasické latině (tj. především Tita Livia) a jeden z jejích představitelů zanechal svou stopu i v  českých dějinách (jde pochopitelně o </w:t>
      </w:r>
      <w:r w:rsidRPr="004E4D9C">
        <w:rPr>
          <w:rFonts w:ascii="Times New Roman" w:hAnsi="Times New Roman" w:cs="Times New Roman"/>
          <w:b/>
          <w:sz w:val="28"/>
          <w:szCs w:val="28"/>
        </w:rPr>
        <w:t xml:space="preserve">Eneáše Silvia </w:t>
      </w:r>
      <w:proofErr w:type="spellStart"/>
      <w:r w:rsidRPr="004E4D9C">
        <w:rPr>
          <w:rFonts w:ascii="Times New Roman" w:hAnsi="Times New Roman" w:cs="Times New Roman"/>
          <w:b/>
          <w:sz w:val="28"/>
          <w:szCs w:val="28"/>
        </w:rPr>
        <w:t>Piccolominiho</w:t>
      </w:r>
      <w:proofErr w:type="spellEnd"/>
      <w:r w:rsidRPr="004E4D9C">
        <w:rPr>
          <w:rFonts w:ascii="Times New Roman" w:hAnsi="Times New Roman" w:cs="Times New Roman"/>
          <w:sz w:val="28"/>
          <w:szCs w:val="28"/>
        </w:rPr>
        <w:t xml:space="preserve">, který krom </w:t>
      </w:r>
      <w:r w:rsidRPr="004E4D9C">
        <w:rPr>
          <w:rFonts w:ascii="Times New Roman" w:hAnsi="Times New Roman" w:cs="Times New Roman"/>
          <w:i/>
          <w:sz w:val="28"/>
          <w:szCs w:val="28"/>
        </w:rPr>
        <w:t>Kroniky české</w:t>
      </w:r>
      <w:r w:rsidRPr="004E4D9C">
        <w:rPr>
          <w:rFonts w:ascii="Times New Roman" w:hAnsi="Times New Roman" w:cs="Times New Roman"/>
          <w:sz w:val="28"/>
          <w:szCs w:val="28"/>
        </w:rPr>
        <w:t xml:space="preserve"> napsal díla věnovaná vládě císaře Friedricha III.). Za zakladatele kritické linie můžeme bez pochyb označit </w:t>
      </w:r>
      <w:r w:rsidRPr="004E4D9C">
        <w:rPr>
          <w:rFonts w:ascii="Times New Roman" w:hAnsi="Times New Roman" w:cs="Times New Roman"/>
          <w:b/>
          <w:sz w:val="28"/>
          <w:szCs w:val="28"/>
        </w:rPr>
        <w:t xml:space="preserve">Lorenza </w:t>
      </w:r>
      <w:proofErr w:type="spellStart"/>
      <w:r w:rsidRPr="004E4D9C">
        <w:rPr>
          <w:rFonts w:ascii="Times New Roman" w:hAnsi="Times New Roman" w:cs="Times New Roman"/>
          <w:b/>
          <w:sz w:val="28"/>
          <w:szCs w:val="28"/>
        </w:rPr>
        <w:t>Vallu</w:t>
      </w:r>
      <w:proofErr w:type="spellEnd"/>
      <w:r w:rsidRPr="004E4D9C">
        <w:rPr>
          <w:rFonts w:ascii="Times New Roman" w:hAnsi="Times New Roman" w:cs="Times New Roman"/>
          <w:sz w:val="28"/>
          <w:szCs w:val="28"/>
        </w:rPr>
        <w:t xml:space="preserve"> (1407–1457), který využil znalostí získaných studiem klasické latiny a podrobil drtivé kritice tzv. </w:t>
      </w:r>
      <w:r w:rsidRPr="004E4D9C">
        <w:rPr>
          <w:rFonts w:ascii="Times New Roman" w:hAnsi="Times New Roman" w:cs="Times New Roman"/>
          <w:i/>
          <w:sz w:val="28"/>
          <w:szCs w:val="28"/>
        </w:rPr>
        <w:t>Konstantinovu donaci</w:t>
      </w:r>
      <w:r w:rsidRPr="004E4D9C">
        <w:rPr>
          <w:rFonts w:ascii="Times New Roman" w:hAnsi="Times New Roman" w:cs="Times New Roman"/>
          <w:b/>
          <w:sz w:val="28"/>
          <w:szCs w:val="28"/>
        </w:rPr>
        <w:t>,</w:t>
      </w:r>
      <w:r w:rsidRPr="004E4D9C">
        <w:rPr>
          <w:rFonts w:ascii="Times New Roman" w:hAnsi="Times New Roman" w:cs="Times New Roman"/>
          <w:sz w:val="28"/>
          <w:szCs w:val="28"/>
        </w:rPr>
        <w:t xml:space="preserve"> již prohlásil na základě jazykového rozboru za falsum (sluší se doplnit, že o něco dříve ji historicky zpochybnil </w:t>
      </w:r>
      <w:r w:rsidRPr="004E4D9C">
        <w:rPr>
          <w:rFonts w:ascii="Times New Roman" w:hAnsi="Times New Roman" w:cs="Times New Roman"/>
          <w:b/>
          <w:sz w:val="28"/>
          <w:szCs w:val="28"/>
        </w:rPr>
        <w:t xml:space="preserve">Mikuláš </w:t>
      </w:r>
      <w:proofErr w:type="spellStart"/>
      <w:r w:rsidRPr="004E4D9C">
        <w:rPr>
          <w:rFonts w:ascii="Times New Roman" w:hAnsi="Times New Roman" w:cs="Times New Roman"/>
          <w:b/>
          <w:sz w:val="28"/>
          <w:szCs w:val="28"/>
        </w:rPr>
        <w:t>Kusánský</w:t>
      </w:r>
      <w:proofErr w:type="spellEnd"/>
      <w:r w:rsidRPr="004E4D9C">
        <w:rPr>
          <w:rFonts w:ascii="Times New Roman" w:hAnsi="Times New Roman" w:cs="Times New Roman"/>
          <w:sz w:val="28"/>
          <w:szCs w:val="28"/>
        </w:rPr>
        <w:t xml:space="preserve">, </w:t>
      </w:r>
      <w:r w:rsidRPr="004E4D9C">
        <w:rPr>
          <w:rFonts w:ascii="Times New Roman" w:hAnsi="Times New Roman" w:cs="Times New Roman"/>
          <w:sz w:val="28"/>
          <w:szCs w:val="28"/>
        </w:rPr>
        <w:lastRenderedPageBreak/>
        <w:t xml:space="preserve">jeden z nejpozoruhodnějších teologů a filosofů pozdního středověku). Rozmach politického myšlení příznivě podpořil vytváření politické linie, již nejlépe reprezentují jména </w:t>
      </w:r>
      <w:proofErr w:type="spellStart"/>
      <w:r w:rsidRPr="004E4D9C">
        <w:rPr>
          <w:rFonts w:ascii="Times New Roman" w:hAnsi="Times New Roman" w:cs="Times New Roman"/>
          <w:b/>
          <w:sz w:val="28"/>
          <w:szCs w:val="28"/>
        </w:rPr>
        <w:t>Niccoly</w:t>
      </w:r>
      <w:proofErr w:type="spellEnd"/>
      <w:r w:rsidRPr="004E4D9C">
        <w:rPr>
          <w:rFonts w:ascii="Times New Roman" w:hAnsi="Times New Roman" w:cs="Times New Roman"/>
          <w:b/>
          <w:sz w:val="28"/>
          <w:szCs w:val="28"/>
        </w:rPr>
        <w:t xml:space="preserve"> Machiavelliho</w:t>
      </w:r>
      <w:r w:rsidRPr="004E4D9C">
        <w:rPr>
          <w:rFonts w:ascii="Times New Roman" w:hAnsi="Times New Roman" w:cs="Times New Roman"/>
          <w:sz w:val="28"/>
          <w:szCs w:val="28"/>
        </w:rPr>
        <w:t xml:space="preserve"> (1469–1527) a </w:t>
      </w:r>
      <w:r w:rsidRPr="004E4D9C">
        <w:rPr>
          <w:rFonts w:ascii="Times New Roman" w:hAnsi="Times New Roman" w:cs="Times New Roman"/>
          <w:b/>
          <w:sz w:val="28"/>
          <w:szCs w:val="28"/>
        </w:rPr>
        <w:t xml:space="preserve">Francesca </w:t>
      </w:r>
      <w:proofErr w:type="spellStart"/>
      <w:r w:rsidRPr="004E4D9C">
        <w:rPr>
          <w:rFonts w:ascii="Times New Roman" w:hAnsi="Times New Roman" w:cs="Times New Roman"/>
          <w:b/>
          <w:sz w:val="28"/>
          <w:szCs w:val="28"/>
        </w:rPr>
        <w:t>Guicciardiniho</w:t>
      </w:r>
      <w:proofErr w:type="spellEnd"/>
      <w:r w:rsidRPr="004E4D9C">
        <w:rPr>
          <w:rFonts w:ascii="Times New Roman" w:hAnsi="Times New Roman" w:cs="Times New Roman"/>
          <w:sz w:val="28"/>
          <w:szCs w:val="28"/>
        </w:rPr>
        <w:t xml:space="preserve"> </w:t>
      </w:r>
      <w:r w:rsidR="004E4D9C">
        <w:rPr>
          <w:rFonts w:ascii="Times New Roman" w:hAnsi="Times New Roman" w:cs="Times New Roman"/>
          <w:sz w:val="28"/>
          <w:szCs w:val="28"/>
        </w:rPr>
        <w:t>[</w:t>
      </w:r>
      <w:proofErr w:type="spellStart"/>
      <w:r w:rsidR="004E4D9C">
        <w:rPr>
          <w:rFonts w:ascii="Times New Roman" w:hAnsi="Times New Roman" w:cs="Times New Roman"/>
          <w:sz w:val="28"/>
          <w:szCs w:val="28"/>
        </w:rPr>
        <w:t>gvičardyny</w:t>
      </w:r>
      <w:proofErr w:type="spellEnd"/>
      <w:r w:rsidR="004E4D9C">
        <w:rPr>
          <w:rFonts w:ascii="Times New Roman" w:hAnsi="Times New Roman" w:cs="Times New Roman"/>
          <w:sz w:val="28"/>
          <w:szCs w:val="28"/>
        </w:rPr>
        <w:t>]</w:t>
      </w:r>
      <w:r w:rsidRPr="004E4D9C">
        <w:rPr>
          <w:rFonts w:ascii="Times New Roman" w:hAnsi="Times New Roman" w:cs="Times New Roman"/>
          <w:sz w:val="28"/>
          <w:szCs w:val="28"/>
        </w:rPr>
        <w:t xml:space="preserve">(1483–1540). </w:t>
      </w:r>
      <w:r w:rsidRPr="004E4D9C">
        <w:rPr>
          <w:rFonts w:ascii="Times New Roman" w:hAnsi="Times New Roman" w:cs="Times New Roman"/>
          <w:i/>
          <w:sz w:val="28"/>
          <w:szCs w:val="28"/>
        </w:rPr>
        <w:t>„Málo čteme o historii, a když už čteme, pak často vůbec nepochopíme pravý smysl jejích děj</w:t>
      </w:r>
      <w:r w:rsidRPr="004E4D9C">
        <w:rPr>
          <w:rFonts w:ascii="Times New Roman" w:hAnsi="Times New Roman" w:cs="Times New Roman"/>
          <w:sz w:val="28"/>
          <w:szCs w:val="28"/>
        </w:rPr>
        <w:t xml:space="preserve">ů“, říká prvý v úvodu </w:t>
      </w:r>
      <w:r w:rsidRPr="004E4D9C">
        <w:rPr>
          <w:rFonts w:ascii="Times New Roman" w:hAnsi="Times New Roman" w:cs="Times New Roman"/>
          <w:i/>
          <w:sz w:val="28"/>
          <w:szCs w:val="28"/>
        </w:rPr>
        <w:t>Rozprav o prvních deseti knihách Tita Livia</w:t>
      </w:r>
      <w:r w:rsidRPr="004E4D9C">
        <w:rPr>
          <w:rFonts w:ascii="Times New Roman" w:hAnsi="Times New Roman" w:cs="Times New Roman"/>
          <w:sz w:val="28"/>
          <w:szCs w:val="28"/>
        </w:rPr>
        <w:t xml:space="preserve">. Antický historik mu nebyl vzorem klasické latiny, nýbrž záminkou k přemýšlení o důvodech, jež vedly k úpadku kdysi mocné římské říše, a o dějinných silách, působících ve starověku i v </w:t>
      </w:r>
      <w:proofErr w:type="gramStart"/>
      <w:r w:rsidRPr="004E4D9C">
        <w:rPr>
          <w:rFonts w:ascii="Times New Roman" w:hAnsi="Times New Roman" w:cs="Times New Roman"/>
          <w:sz w:val="28"/>
          <w:szCs w:val="28"/>
        </w:rPr>
        <w:t>Machiavelliho</w:t>
      </w:r>
      <w:proofErr w:type="gramEnd"/>
      <w:r w:rsidRPr="004E4D9C">
        <w:rPr>
          <w:rFonts w:ascii="Times New Roman" w:hAnsi="Times New Roman" w:cs="Times New Roman"/>
          <w:sz w:val="28"/>
          <w:szCs w:val="28"/>
        </w:rPr>
        <w:t xml:space="preserve"> přítomnosti. Znalost </w:t>
      </w:r>
      <w:proofErr w:type="spellStart"/>
      <w:r w:rsidRPr="004E4D9C">
        <w:rPr>
          <w:rFonts w:ascii="Times New Roman" w:hAnsi="Times New Roman" w:cs="Times New Roman"/>
          <w:sz w:val="28"/>
          <w:szCs w:val="28"/>
        </w:rPr>
        <w:t>obého</w:t>
      </w:r>
      <w:proofErr w:type="spellEnd"/>
      <w:r w:rsidRPr="004E4D9C">
        <w:rPr>
          <w:rFonts w:ascii="Times New Roman" w:hAnsi="Times New Roman" w:cs="Times New Roman"/>
          <w:sz w:val="28"/>
          <w:szCs w:val="28"/>
        </w:rPr>
        <w:t xml:space="preserve"> se měla stát nástrojem výchovy vladaře schopného obstát v  poměrech na Apeninském poloostrově v  prvých desetiletích 16. století. Stejně tak byla minulost vodítkem přítomnosti pro </w:t>
      </w:r>
      <w:proofErr w:type="spellStart"/>
      <w:r w:rsidRPr="004E4D9C">
        <w:rPr>
          <w:rFonts w:ascii="Times New Roman" w:hAnsi="Times New Roman" w:cs="Times New Roman"/>
          <w:sz w:val="28"/>
          <w:szCs w:val="28"/>
        </w:rPr>
        <w:t>Guicciardiniho</w:t>
      </w:r>
      <w:proofErr w:type="spellEnd"/>
      <w:r w:rsidRPr="004E4D9C">
        <w:rPr>
          <w:rFonts w:ascii="Times New Roman" w:hAnsi="Times New Roman" w:cs="Times New Roman"/>
          <w:sz w:val="28"/>
          <w:szCs w:val="28"/>
        </w:rPr>
        <w:t xml:space="preserve"> v jeho pojednáních o dějinách Itálie a Florencie, ač prvé dílo se věnovalo minulosti zcela nedávné – možná právě proto získalo církevní imprimatur s obtížemi a bylo tištěno až dlouho po autorově smrti. Itálie byla v jistém smyslu pro formování politického modelu dějepisectví ideální zemí: jednak kvůli intelektuálnímu zázemí – i proto pocházeli nejvýznamnější autoři z  Florencie, Říma, resp. později Neapole – jednak kvůli politickým poměrům, které přímo pobízely tímto směrem (alespoň drobnou zmínku si ale v souvislosti s politickou linií zaslouží pozdější dílo českého autora, </w:t>
      </w:r>
      <w:r w:rsidRPr="004E4D9C">
        <w:rPr>
          <w:rFonts w:ascii="Times New Roman" w:hAnsi="Times New Roman" w:cs="Times New Roman"/>
          <w:b/>
          <w:sz w:val="28"/>
          <w:szCs w:val="28"/>
        </w:rPr>
        <w:t>Pavla Stránského</w:t>
      </w:r>
      <w:r w:rsidRPr="004E4D9C">
        <w:rPr>
          <w:rFonts w:ascii="Times New Roman" w:hAnsi="Times New Roman" w:cs="Times New Roman"/>
          <w:sz w:val="28"/>
          <w:szCs w:val="28"/>
        </w:rPr>
        <w:t xml:space="preserve"> </w:t>
      </w:r>
      <w:r w:rsidRPr="004E4D9C">
        <w:rPr>
          <w:rFonts w:ascii="Times New Roman" w:hAnsi="Times New Roman" w:cs="Times New Roman"/>
          <w:i/>
          <w:sz w:val="28"/>
          <w:szCs w:val="28"/>
        </w:rPr>
        <w:t>O státě českém</w:t>
      </w:r>
      <w:r w:rsidRPr="004E4D9C">
        <w:rPr>
          <w:rFonts w:ascii="Times New Roman" w:hAnsi="Times New Roman" w:cs="Times New Roman"/>
          <w:sz w:val="28"/>
          <w:szCs w:val="28"/>
        </w:rPr>
        <w:t>, tištěno 1634).</w:t>
      </w:r>
      <w:r w:rsidR="004E4D9C">
        <w:rPr>
          <w:rFonts w:ascii="Times New Roman" w:hAnsi="Times New Roman" w:cs="Times New Roman"/>
          <w:sz w:val="28"/>
          <w:szCs w:val="28"/>
        </w:rPr>
        <w:t xml:space="preserve"> </w:t>
      </w:r>
      <w:r w:rsidRPr="004E4D9C">
        <w:rPr>
          <w:rFonts w:ascii="Times New Roman" w:hAnsi="Times New Roman" w:cs="Times New Roman"/>
          <w:sz w:val="28"/>
          <w:szCs w:val="28"/>
        </w:rPr>
        <w:t xml:space="preserve">Na sever od Alp byla situace poněkud odlišná. Do ochotného přejímání a přetváření podnětů italské renesance rázně zasáhla reformační hnutí. Již v první etapě náboženských polemik a hledání místa nových konfesí ve společnosti hrála minulost a argumentace prostřednictvím starých textů důležitou roli, podobně jako o století dříve v souvislosti s husitstvím. Rozličné propagandistické spisky zde ponechejme stranou, to nejdůležitější z protestantské (luterské) strany je uloženo v tzv. </w:t>
      </w:r>
      <w:r w:rsidRPr="002B4DFF">
        <w:rPr>
          <w:rFonts w:ascii="Times New Roman" w:hAnsi="Times New Roman" w:cs="Times New Roman"/>
          <w:i/>
          <w:sz w:val="28"/>
          <w:szCs w:val="28"/>
        </w:rPr>
        <w:t>Magdeburských centuriích</w:t>
      </w:r>
      <w:r w:rsidR="004E4D9C">
        <w:rPr>
          <w:rFonts w:ascii="Times New Roman" w:hAnsi="Times New Roman" w:cs="Times New Roman"/>
          <w:sz w:val="28"/>
          <w:szCs w:val="28"/>
        </w:rPr>
        <w:t xml:space="preserve"> </w:t>
      </w:r>
      <w:r w:rsidRPr="004E4D9C">
        <w:rPr>
          <w:rFonts w:ascii="Times New Roman" w:hAnsi="Times New Roman" w:cs="Times New Roman"/>
          <w:sz w:val="28"/>
          <w:szCs w:val="28"/>
        </w:rPr>
        <w:t xml:space="preserve">(vydávány 1559–1574), jež vznikly pod vedením </w:t>
      </w:r>
      <w:proofErr w:type="spellStart"/>
      <w:r w:rsidRPr="002B4DFF">
        <w:rPr>
          <w:rFonts w:ascii="Times New Roman" w:hAnsi="Times New Roman" w:cs="Times New Roman"/>
          <w:b/>
          <w:sz w:val="28"/>
          <w:szCs w:val="28"/>
        </w:rPr>
        <w:t>Matthea</w:t>
      </w:r>
      <w:proofErr w:type="spellEnd"/>
      <w:r w:rsidRPr="002B4DFF">
        <w:rPr>
          <w:rFonts w:ascii="Times New Roman" w:hAnsi="Times New Roman" w:cs="Times New Roman"/>
          <w:b/>
          <w:sz w:val="28"/>
          <w:szCs w:val="28"/>
        </w:rPr>
        <w:t xml:space="preserve"> </w:t>
      </w:r>
      <w:proofErr w:type="spellStart"/>
      <w:r w:rsidRPr="002B4DFF">
        <w:rPr>
          <w:rFonts w:ascii="Times New Roman" w:hAnsi="Times New Roman" w:cs="Times New Roman"/>
          <w:b/>
          <w:sz w:val="28"/>
          <w:szCs w:val="28"/>
        </w:rPr>
        <w:t>Flaccia</w:t>
      </w:r>
      <w:proofErr w:type="spellEnd"/>
      <w:r w:rsidRPr="002B4DFF">
        <w:rPr>
          <w:rFonts w:ascii="Times New Roman" w:hAnsi="Times New Roman" w:cs="Times New Roman"/>
          <w:b/>
          <w:sz w:val="28"/>
          <w:szCs w:val="28"/>
        </w:rPr>
        <w:t xml:space="preserve"> </w:t>
      </w:r>
      <w:proofErr w:type="spellStart"/>
      <w:r w:rsidRPr="002B4DFF">
        <w:rPr>
          <w:rFonts w:ascii="Times New Roman" w:hAnsi="Times New Roman" w:cs="Times New Roman"/>
          <w:b/>
          <w:sz w:val="28"/>
          <w:szCs w:val="28"/>
        </w:rPr>
        <w:t>Illyrica</w:t>
      </w:r>
      <w:proofErr w:type="spellEnd"/>
      <w:r w:rsidRPr="004E4D9C">
        <w:rPr>
          <w:rFonts w:ascii="Times New Roman" w:hAnsi="Times New Roman" w:cs="Times New Roman"/>
          <w:sz w:val="28"/>
          <w:szCs w:val="28"/>
        </w:rPr>
        <w:t xml:space="preserve"> (1520–1575) a pojednaly prvých třináct staletí církevních dějin. Přestože jde ve výsledném tvaru o obšírné anály, práce na nich byla organizována neobyčejně promyšleným způsobem, když jedna skupina </w:t>
      </w:r>
      <w:r w:rsidRPr="004E4D9C">
        <w:rPr>
          <w:rFonts w:ascii="Times New Roman" w:hAnsi="Times New Roman" w:cs="Times New Roman"/>
          <w:sz w:val="28"/>
          <w:szCs w:val="28"/>
        </w:rPr>
        <w:lastRenderedPageBreak/>
        <w:t xml:space="preserve">sbírala pramenné podklady po celé Evropě (tedy fáze heuristiky), druhá jej třídila a analyzovala (kritika) a teprve poté následovalo vlastní sepisování díla úzkou skupinkou kolem </w:t>
      </w:r>
      <w:proofErr w:type="spellStart"/>
      <w:r w:rsidRPr="004E4D9C">
        <w:rPr>
          <w:rFonts w:ascii="Times New Roman" w:hAnsi="Times New Roman" w:cs="Times New Roman"/>
          <w:sz w:val="28"/>
          <w:szCs w:val="28"/>
        </w:rPr>
        <w:t>Illyrica</w:t>
      </w:r>
      <w:proofErr w:type="spellEnd"/>
      <w:r w:rsidRPr="004E4D9C">
        <w:rPr>
          <w:rFonts w:ascii="Times New Roman" w:hAnsi="Times New Roman" w:cs="Times New Roman"/>
          <w:sz w:val="28"/>
          <w:szCs w:val="28"/>
        </w:rPr>
        <w:t xml:space="preserve">. Římskokatolické odpovědi na protestantskou výzvu se ujal kněz </w:t>
      </w:r>
      <w:r w:rsidRPr="002B4DFF">
        <w:rPr>
          <w:rFonts w:ascii="Times New Roman" w:hAnsi="Times New Roman" w:cs="Times New Roman"/>
          <w:b/>
          <w:sz w:val="28"/>
          <w:szCs w:val="28"/>
        </w:rPr>
        <w:t xml:space="preserve">Caesar </w:t>
      </w:r>
      <w:proofErr w:type="spellStart"/>
      <w:r w:rsidRPr="002B4DFF">
        <w:rPr>
          <w:rFonts w:ascii="Times New Roman" w:hAnsi="Times New Roman" w:cs="Times New Roman"/>
          <w:b/>
          <w:sz w:val="28"/>
          <w:szCs w:val="28"/>
        </w:rPr>
        <w:t>Baronius</w:t>
      </w:r>
      <w:proofErr w:type="spellEnd"/>
      <w:r w:rsidRPr="004E4D9C">
        <w:rPr>
          <w:rFonts w:ascii="Times New Roman" w:hAnsi="Times New Roman" w:cs="Times New Roman"/>
          <w:sz w:val="28"/>
          <w:szCs w:val="28"/>
        </w:rPr>
        <w:t xml:space="preserve"> (1538–1607), v závěru života jmenovaný kardinálem a správcem vatikánských knihoven. Jeho </w:t>
      </w:r>
      <w:proofErr w:type="spellStart"/>
      <w:r w:rsidRPr="002B4DFF">
        <w:rPr>
          <w:rFonts w:ascii="Times New Roman" w:hAnsi="Times New Roman" w:cs="Times New Roman"/>
          <w:i/>
          <w:sz w:val="28"/>
          <w:szCs w:val="28"/>
        </w:rPr>
        <w:t>Annales</w:t>
      </w:r>
      <w:proofErr w:type="spellEnd"/>
      <w:r w:rsidRPr="002B4DFF">
        <w:rPr>
          <w:rFonts w:ascii="Times New Roman" w:hAnsi="Times New Roman" w:cs="Times New Roman"/>
          <w:i/>
          <w:sz w:val="28"/>
          <w:szCs w:val="28"/>
        </w:rPr>
        <w:t xml:space="preserve"> </w:t>
      </w:r>
      <w:proofErr w:type="spellStart"/>
      <w:r w:rsidRPr="002B4DFF">
        <w:rPr>
          <w:rFonts w:ascii="Times New Roman" w:hAnsi="Times New Roman" w:cs="Times New Roman"/>
          <w:i/>
          <w:sz w:val="28"/>
          <w:szCs w:val="28"/>
        </w:rPr>
        <w:t>ecclesiastici</w:t>
      </w:r>
      <w:proofErr w:type="spellEnd"/>
      <w:r w:rsidRPr="004E4D9C">
        <w:rPr>
          <w:rFonts w:ascii="Times New Roman" w:hAnsi="Times New Roman" w:cs="Times New Roman"/>
          <w:sz w:val="28"/>
          <w:szCs w:val="28"/>
        </w:rPr>
        <w:t xml:space="preserve">, církevní anály, byly rovněž koncipovány letopiseckým způsobem, který však stejně jako u magdeburských centurií vycházel od výkladu podstatných dokumentů. Ani on se ale nedostal blíže k přítomnosti, jeho výklad skončil na prahu pontifikátu Innocence III. a nenašel následovníka. </w:t>
      </w:r>
      <w:proofErr w:type="spellStart"/>
      <w:r w:rsidRPr="004E4D9C">
        <w:rPr>
          <w:rFonts w:ascii="Times New Roman" w:hAnsi="Times New Roman" w:cs="Times New Roman"/>
          <w:sz w:val="28"/>
          <w:szCs w:val="28"/>
        </w:rPr>
        <w:t>Baroniův</w:t>
      </w:r>
      <w:proofErr w:type="spellEnd"/>
      <w:r w:rsidRPr="004E4D9C">
        <w:rPr>
          <w:rFonts w:ascii="Times New Roman" w:hAnsi="Times New Roman" w:cs="Times New Roman"/>
          <w:sz w:val="28"/>
          <w:szCs w:val="28"/>
        </w:rPr>
        <w:t xml:space="preserve"> výklad církevních dějin plně odpovídal </w:t>
      </w:r>
      <w:proofErr w:type="spellStart"/>
      <w:r w:rsidRPr="004E4D9C">
        <w:rPr>
          <w:rFonts w:ascii="Times New Roman" w:hAnsi="Times New Roman" w:cs="Times New Roman"/>
          <w:sz w:val="28"/>
          <w:szCs w:val="28"/>
        </w:rPr>
        <w:t>potridentskému</w:t>
      </w:r>
      <w:proofErr w:type="spellEnd"/>
      <w:r w:rsidRPr="004E4D9C">
        <w:rPr>
          <w:rFonts w:ascii="Times New Roman" w:hAnsi="Times New Roman" w:cs="Times New Roman"/>
          <w:sz w:val="28"/>
          <w:szCs w:val="28"/>
        </w:rPr>
        <w:t xml:space="preserve"> pojetí římskokatolické církve a se vší vehemencí navracel zpět do dějin božskou prozřetelnost. Apologií kalvínského směru reformy jsou zase rozsáhlé </w:t>
      </w:r>
      <w:r w:rsidRPr="002B4DFF">
        <w:rPr>
          <w:rFonts w:ascii="Times New Roman" w:hAnsi="Times New Roman" w:cs="Times New Roman"/>
          <w:i/>
          <w:sz w:val="28"/>
          <w:szCs w:val="28"/>
        </w:rPr>
        <w:t>Dějiny reformované církve ve Francii</w:t>
      </w:r>
      <w:r w:rsidRPr="004E4D9C">
        <w:rPr>
          <w:rFonts w:ascii="Times New Roman" w:hAnsi="Times New Roman" w:cs="Times New Roman"/>
          <w:sz w:val="28"/>
          <w:szCs w:val="28"/>
        </w:rPr>
        <w:t xml:space="preserve">, sepsané Kalvínovým následovníkem a životopiscem </w:t>
      </w:r>
      <w:r w:rsidRPr="002B4DFF">
        <w:rPr>
          <w:rFonts w:ascii="Times New Roman" w:hAnsi="Times New Roman" w:cs="Times New Roman"/>
          <w:b/>
          <w:sz w:val="28"/>
          <w:szCs w:val="28"/>
        </w:rPr>
        <w:t>Theodorem Bezou</w:t>
      </w:r>
      <w:r w:rsidRPr="004E4D9C">
        <w:rPr>
          <w:rFonts w:ascii="Times New Roman" w:hAnsi="Times New Roman" w:cs="Times New Roman"/>
          <w:sz w:val="28"/>
          <w:szCs w:val="28"/>
        </w:rPr>
        <w:t xml:space="preserve"> (1519–1605).</w:t>
      </w:r>
      <w:r w:rsidR="002B4DFF">
        <w:rPr>
          <w:rFonts w:ascii="Times New Roman" w:hAnsi="Times New Roman" w:cs="Times New Roman"/>
          <w:sz w:val="28"/>
          <w:szCs w:val="28"/>
        </w:rPr>
        <w:t xml:space="preserve"> </w:t>
      </w:r>
      <w:r w:rsidRPr="004E4D9C">
        <w:rPr>
          <w:rFonts w:ascii="Times New Roman" w:hAnsi="Times New Roman" w:cs="Times New Roman"/>
          <w:sz w:val="28"/>
          <w:szCs w:val="28"/>
        </w:rPr>
        <w:t xml:space="preserve">Jedním z nesporných předělů v dějepisectví, spojených s renesancí, je emancipace historie jako jednoho z oborů lidského vědění. Dosud byla lidská minulost vždy nějak spojena s teologií na straně jedné, a pokud šlo o ztvárnění, pak s gramatikou a rétorikou na straně druhé. Již v  roce 1504 se však konaly samostatné přednášky o historii na universitě v Mohuči, o pár let později přednáší dějiny Filip </w:t>
      </w:r>
      <w:proofErr w:type="spellStart"/>
      <w:r w:rsidRPr="004E4D9C">
        <w:rPr>
          <w:rFonts w:ascii="Times New Roman" w:hAnsi="Times New Roman" w:cs="Times New Roman"/>
          <w:sz w:val="28"/>
          <w:szCs w:val="28"/>
        </w:rPr>
        <w:t>Melanchthon</w:t>
      </w:r>
      <w:proofErr w:type="spellEnd"/>
      <w:r w:rsidRPr="004E4D9C">
        <w:rPr>
          <w:rFonts w:ascii="Times New Roman" w:hAnsi="Times New Roman" w:cs="Times New Roman"/>
          <w:sz w:val="28"/>
          <w:szCs w:val="28"/>
        </w:rPr>
        <w:t xml:space="preserve"> ve </w:t>
      </w:r>
      <w:proofErr w:type="spellStart"/>
      <w:r w:rsidRPr="004E4D9C">
        <w:rPr>
          <w:rFonts w:ascii="Times New Roman" w:hAnsi="Times New Roman" w:cs="Times New Roman"/>
          <w:sz w:val="28"/>
          <w:szCs w:val="28"/>
        </w:rPr>
        <w:t>Wittenbergu</w:t>
      </w:r>
      <w:proofErr w:type="spellEnd"/>
      <w:r w:rsidRPr="004E4D9C">
        <w:rPr>
          <w:rFonts w:ascii="Times New Roman" w:hAnsi="Times New Roman" w:cs="Times New Roman"/>
          <w:sz w:val="28"/>
          <w:szCs w:val="28"/>
        </w:rPr>
        <w:t xml:space="preserve"> a podobně je tomu v dalších zemích. Rozvoj</w:t>
      </w:r>
      <w:r w:rsidR="002B4DFF">
        <w:rPr>
          <w:rFonts w:ascii="Times New Roman" w:hAnsi="Times New Roman" w:cs="Times New Roman"/>
          <w:sz w:val="28"/>
          <w:szCs w:val="28"/>
        </w:rPr>
        <w:t xml:space="preserve"> </w:t>
      </w:r>
      <w:r w:rsidRPr="004E4D9C">
        <w:rPr>
          <w:rFonts w:ascii="Times New Roman" w:hAnsi="Times New Roman" w:cs="Times New Roman"/>
          <w:sz w:val="28"/>
          <w:szCs w:val="28"/>
        </w:rPr>
        <w:t xml:space="preserve">empirické filosofie a zájem o okolní svět způsobil, že vedle klasické historie nalézá své místo také </w:t>
      </w:r>
      <w:proofErr w:type="spellStart"/>
      <w:r w:rsidRPr="004E4D9C">
        <w:rPr>
          <w:rFonts w:ascii="Times New Roman" w:hAnsi="Times New Roman" w:cs="Times New Roman"/>
          <w:sz w:val="28"/>
          <w:szCs w:val="28"/>
        </w:rPr>
        <w:t>historia</w:t>
      </w:r>
      <w:proofErr w:type="spellEnd"/>
      <w:r w:rsidRPr="004E4D9C">
        <w:rPr>
          <w:rFonts w:ascii="Times New Roman" w:hAnsi="Times New Roman" w:cs="Times New Roman"/>
          <w:sz w:val="28"/>
          <w:szCs w:val="28"/>
        </w:rPr>
        <w:t xml:space="preserve"> </w:t>
      </w:r>
      <w:proofErr w:type="spellStart"/>
      <w:r w:rsidRPr="004E4D9C">
        <w:rPr>
          <w:rFonts w:ascii="Times New Roman" w:hAnsi="Times New Roman" w:cs="Times New Roman"/>
          <w:sz w:val="28"/>
          <w:szCs w:val="28"/>
        </w:rPr>
        <w:t>naturalis</w:t>
      </w:r>
      <w:proofErr w:type="spellEnd"/>
      <w:r w:rsidRPr="004E4D9C">
        <w:rPr>
          <w:rFonts w:ascii="Times New Roman" w:hAnsi="Times New Roman" w:cs="Times New Roman"/>
          <w:sz w:val="28"/>
          <w:szCs w:val="28"/>
        </w:rPr>
        <w:t xml:space="preserve">, „přírodní historie“, zpravidla v  podobě objemných kompendií, shrnujících encyklopedicky znalosti o přírodních dějích a zvířatech (za všechny budiž zmíněn </w:t>
      </w:r>
      <w:proofErr w:type="spellStart"/>
      <w:r w:rsidRPr="004E4D9C">
        <w:rPr>
          <w:rFonts w:ascii="Times New Roman" w:hAnsi="Times New Roman" w:cs="Times New Roman"/>
          <w:sz w:val="28"/>
          <w:szCs w:val="28"/>
        </w:rPr>
        <w:t>Conrad</w:t>
      </w:r>
      <w:proofErr w:type="spellEnd"/>
      <w:r w:rsidRPr="004E4D9C">
        <w:rPr>
          <w:rFonts w:ascii="Times New Roman" w:hAnsi="Times New Roman" w:cs="Times New Roman"/>
          <w:sz w:val="28"/>
          <w:szCs w:val="28"/>
        </w:rPr>
        <w:t xml:space="preserve"> </w:t>
      </w:r>
      <w:proofErr w:type="spellStart"/>
      <w:r w:rsidRPr="004E4D9C">
        <w:rPr>
          <w:rFonts w:ascii="Times New Roman" w:hAnsi="Times New Roman" w:cs="Times New Roman"/>
          <w:sz w:val="28"/>
          <w:szCs w:val="28"/>
        </w:rPr>
        <w:t>Gessner</w:t>
      </w:r>
      <w:proofErr w:type="spellEnd"/>
      <w:r w:rsidRPr="004E4D9C">
        <w:rPr>
          <w:rFonts w:ascii="Times New Roman" w:hAnsi="Times New Roman" w:cs="Times New Roman"/>
          <w:sz w:val="28"/>
          <w:szCs w:val="28"/>
        </w:rPr>
        <w:t xml:space="preserve">). Renesanční dějepisectví obrátilo poměr mezi rétorikou a dějepisectvím – rétorika má být pouhou formou vyjádření, nikoli diktujícími a omezujícími hranicemi, přestože ideálem humanistické učenosti zůstává homo </w:t>
      </w:r>
      <w:proofErr w:type="spellStart"/>
      <w:r w:rsidRPr="004E4D9C">
        <w:rPr>
          <w:rFonts w:ascii="Times New Roman" w:hAnsi="Times New Roman" w:cs="Times New Roman"/>
          <w:sz w:val="28"/>
          <w:szCs w:val="28"/>
        </w:rPr>
        <w:t>grammaticus</w:t>
      </w:r>
      <w:proofErr w:type="spellEnd"/>
      <w:r w:rsidRPr="004E4D9C">
        <w:rPr>
          <w:rFonts w:ascii="Times New Roman" w:hAnsi="Times New Roman" w:cs="Times New Roman"/>
          <w:sz w:val="28"/>
          <w:szCs w:val="28"/>
        </w:rPr>
        <w:t xml:space="preserve">, schopný orientovat se díky znalosti textů ve všech oborech lidského vědění. Vedle oživení klasické latiny získávaly na významu národní jazyky, podpořené překladem biblických textů. Ve třech základních modelech se také ukazuje větší profilace historických prací, </w:t>
      </w:r>
      <w:r w:rsidRPr="004E4D9C">
        <w:rPr>
          <w:rFonts w:ascii="Times New Roman" w:hAnsi="Times New Roman" w:cs="Times New Roman"/>
          <w:sz w:val="28"/>
          <w:szCs w:val="28"/>
        </w:rPr>
        <w:lastRenderedPageBreak/>
        <w:t xml:space="preserve">přičemž nyní se začínají zvýrazňovat též rozdíly regionální a nacionální – a samozřejmě i konfesní. Německý humanista </w:t>
      </w:r>
      <w:r w:rsidRPr="002B4DFF">
        <w:rPr>
          <w:rFonts w:ascii="Times New Roman" w:hAnsi="Times New Roman" w:cs="Times New Roman"/>
          <w:b/>
          <w:sz w:val="28"/>
          <w:szCs w:val="28"/>
        </w:rPr>
        <w:t xml:space="preserve">Heinrich </w:t>
      </w:r>
      <w:proofErr w:type="spellStart"/>
      <w:r w:rsidRPr="002B4DFF">
        <w:rPr>
          <w:rFonts w:ascii="Times New Roman" w:hAnsi="Times New Roman" w:cs="Times New Roman"/>
          <w:b/>
          <w:sz w:val="28"/>
          <w:szCs w:val="28"/>
        </w:rPr>
        <w:t>Bebel</w:t>
      </w:r>
      <w:proofErr w:type="spellEnd"/>
      <w:r w:rsidRPr="004E4D9C">
        <w:rPr>
          <w:rFonts w:ascii="Times New Roman" w:hAnsi="Times New Roman" w:cs="Times New Roman"/>
          <w:sz w:val="28"/>
          <w:szCs w:val="28"/>
        </w:rPr>
        <w:t xml:space="preserve"> se na počátku 16. století pyšně táže: </w:t>
      </w:r>
      <w:r w:rsidRPr="002B4DFF">
        <w:rPr>
          <w:rFonts w:ascii="Times New Roman" w:hAnsi="Times New Roman" w:cs="Times New Roman"/>
          <w:i/>
          <w:sz w:val="28"/>
          <w:szCs w:val="28"/>
        </w:rPr>
        <w:t xml:space="preserve">„Co jsou Řeci a Římané ve srovnání s naším Karlem, </w:t>
      </w:r>
      <w:proofErr w:type="spellStart"/>
      <w:r w:rsidRPr="002B4DFF">
        <w:rPr>
          <w:rFonts w:ascii="Times New Roman" w:hAnsi="Times New Roman" w:cs="Times New Roman"/>
          <w:i/>
          <w:sz w:val="28"/>
          <w:szCs w:val="28"/>
        </w:rPr>
        <w:t>Ottony</w:t>
      </w:r>
      <w:proofErr w:type="spellEnd"/>
      <w:r w:rsidRPr="002B4DFF">
        <w:rPr>
          <w:rFonts w:ascii="Times New Roman" w:hAnsi="Times New Roman" w:cs="Times New Roman"/>
          <w:i/>
          <w:sz w:val="28"/>
          <w:szCs w:val="28"/>
        </w:rPr>
        <w:t>, Jindřichy i Friedrich</w:t>
      </w:r>
      <w:r w:rsidRPr="004E4D9C">
        <w:rPr>
          <w:rFonts w:ascii="Times New Roman" w:hAnsi="Times New Roman" w:cs="Times New Roman"/>
          <w:sz w:val="28"/>
          <w:szCs w:val="28"/>
        </w:rPr>
        <w:t xml:space="preserve">y?“ Národní dějiny v národních jazycích </w:t>
      </w:r>
      <w:proofErr w:type="gramStart"/>
      <w:r w:rsidRPr="004E4D9C">
        <w:rPr>
          <w:rFonts w:ascii="Times New Roman" w:hAnsi="Times New Roman" w:cs="Times New Roman"/>
          <w:sz w:val="28"/>
          <w:szCs w:val="28"/>
        </w:rPr>
        <w:t>vznikají</w:t>
      </w:r>
      <w:proofErr w:type="gramEnd"/>
      <w:r w:rsidRPr="004E4D9C">
        <w:rPr>
          <w:rFonts w:ascii="Times New Roman" w:hAnsi="Times New Roman" w:cs="Times New Roman"/>
          <w:sz w:val="28"/>
          <w:szCs w:val="28"/>
        </w:rPr>
        <w:t xml:space="preserve"> v takřka všech evropských zemích, někde ovlivněny náboženskými a politickými událostmi, jinde zase </w:t>
      </w:r>
      <w:proofErr w:type="gramStart"/>
      <w:r w:rsidRPr="004E4D9C">
        <w:rPr>
          <w:rFonts w:ascii="Times New Roman" w:hAnsi="Times New Roman" w:cs="Times New Roman"/>
          <w:sz w:val="28"/>
          <w:szCs w:val="28"/>
        </w:rPr>
        <w:t>popouštějící</w:t>
      </w:r>
      <w:proofErr w:type="gramEnd"/>
      <w:r w:rsidRPr="004E4D9C">
        <w:rPr>
          <w:rFonts w:ascii="Times New Roman" w:hAnsi="Times New Roman" w:cs="Times New Roman"/>
          <w:sz w:val="28"/>
          <w:szCs w:val="28"/>
        </w:rPr>
        <w:t xml:space="preserve"> uzdu epické fabulaci jako český kronikář </w:t>
      </w:r>
      <w:r w:rsidRPr="002B4DFF">
        <w:rPr>
          <w:rFonts w:ascii="Times New Roman" w:hAnsi="Times New Roman" w:cs="Times New Roman"/>
          <w:b/>
          <w:sz w:val="28"/>
          <w:szCs w:val="28"/>
        </w:rPr>
        <w:t>Václav Hájek z Libočan.</w:t>
      </w:r>
      <w:r w:rsidRPr="004E4D9C">
        <w:rPr>
          <w:rFonts w:ascii="Times New Roman" w:hAnsi="Times New Roman" w:cs="Times New Roman"/>
          <w:sz w:val="28"/>
          <w:szCs w:val="28"/>
        </w:rPr>
        <w:t xml:space="preserve"> </w:t>
      </w:r>
    </w:p>
    <w:p w:rsidR="00B078F8" w:rsidRDefault="00B078F8" w:rsidP="00805359">
      <w:pPr>
        <w:spacing w:line="360" w:lineRule="auto"/>
        <w:jc w:val="both"/>
        <w:rPr>
          <w:rFonts w:ascii="Times New Roman" w:hAnsi="Times New Roman" w:cs="Times New Roman"/>
          <w:sz w:val="28"/>
          <w:szCs w:val="28"/>
        </w:rPr>
      </w:pPr>
      <w:r w:rsidRPr="004E4D9C">
        <w:rPr>
          <w:rFonts w:ascii="Times New Roman" w:hAnsi="Times New Roman" w:cs="Times New Roman"/>
          <w:sz w:val="28"/>
          <w:szCs w:val="28"/>
        </w:rPr>
        <w:t xml:space="preserve">Souhrnně můžeme vyzvednout význam přikládaný politickým dějinám a dějinným pravidelnostem, které umožňují formulaci obecných zákonitostí. V jejich intencích se totiž odbývá lidské konání a díky poznání těchto zákonitostí na základě studia minulosti je možné směřovat soudobé dění. Např. </w:t>
      </w:r>
      <w:r w:rsidRPr="002B4DFF">
        <w:rPr>
          <w:rFonts w:ascii="Times New Roman" w:hAnsi="Times New Roman" w:cs="Times New Roman"/>
          <w:b/>
          <w:sz w:val="28"/>
          <w:szCs w:val="28"/>
        </w:rPr>
        <w:t xml:space="preserve">Jean </w:t>
      </w:r>
      <w:proofErr w:type="spellStart"/>
      <w:r w:rsidRPr="002B4DFF">
        <w:rPr>
          <w:rFonts w:ascii="Times New Roman" w:hAnsi="Times New Roman" w:cs="Times New Roman"/>
          <w:b/>
          <w:sz w:val="28"/>
          <w:szCs w:val="28"/>
        </w:rPr>
        <w:t>Bodin</w:t>
      </w:r>
      <w:proofErr w:type="spellEnd"/>
      <w:r w:rsidRPr="004E4D9C">
        <w:rPr>
          <w:rFonts w:ascii="Times New Roman" w:hAnsi="Times New Roman" w:cs="Times New Roman"/>
          <w:sz w:val="28"/>
          <w:szCs w:val="28"/>
        </w:rPr>
        <w:t xml:space="preserve"> (1529–1596) v zajímavé rozpravě o snazším poznání historie, </w:t>
      </w:r>
      <w:proofErr w:type="spellStart"/>
      <w:r w:rsidRPr="002B4DFF">
        <w:rPr>
          <w:rFonts w:ascii="Times New Roman" w:hAnsi="Times New Roman" w:cs="Times New Roman"/>
          <w:i/>
          <w:sz w:val="28"/>
          <w:szCs w:val="28"/>
        </w:rPr>
        <w:t>Methodus</w:t>
      </w:r>
      <w:proofErr w:type="spellEnd"/>
      <w:r w:rsidRPr="002B4DFF">
        <w:rPr>
          <w:rFonts w:ascii="Times New Roman" w:hAnsi="Times New Roman" w:cs="Times New Roman"/>
          <w:i/>
          <w:sz w:val="28"/>
          <w:szCs w:val="28"/>
        </w:rPr>
        <w:t xml:space="preserve"> ad </w:t>
      </w:r>
      <w:proofErr w:type="spellStart"/>
      <w:r w:rsidRPr="002B4DFF">
        <w:rPr>
          <w:rFonts w:ascii="Times New Roman" w:hAnsi="Times New Roman" w:cs="Times New Roman"/>
          <w:i/>
          <w:sz w:val="28"/>
          <w:szCs w:val="28"/>
        </w:rPr>
        <w:t>facilem</w:t>
      </w:r>
      <w:proofErr w:type="spellEnd"/>
      <w:r w:rsidRPr="002B4DFF">
        <w:rPr>
          <w:rFonts w:ascii="Times New Roman" w:hAnsi="Times New Roman" w:cs="Times New Roman"/>
          <w:i/>
          <w:sz w:val="28"/>
          <w:szCs w:val="28"/>
        </w:rPr>
        <w:t xml:space="preserve"> </w:t>
      </w:r>
      <w:proofErr w:type="spellStart"/>
      <w:r w:rsidRPr="002B4DFF">
        <w:rPr>
          <w:rFonts w:ascii="Times New Roman" w:hAnsi="Times New Roman" w:cs="Times New Roman"/>
          <w:i/>
          <w:sz w:val="28"/>
          <w:szCs w:val="28"/>
        </w:rPr>
        <w:t>historiarum</w:t>
      </w:r>
      <w:proofErr w:type="spellEnd"/>
      <w:r w:rsidRPr="002B4DFF">
        <w:rPr>
          <w:rFonts w:ascii="Times New Roman" w:hAnsi="Times New Roman" w:cs="Times New Roman"/>
          <w:i/>
          <w:sz w:val="28"/>
          <w:szCs w:val="28"/>
        </w:rPr>
        <w:t xml:space="preserve"> </w:t>
      </w:r>
      <w:proofErr w:type="spellStart"/>
      <w:r w:rsidRPr="002B4DFF">
        <w:rPr>
          <w:rFonts w:ascii="Times New Roman" w:hAnsi="Times New Roman" w:cs="Times New Roman"/>
          <w:i/>
          <w:sz w:val="28"/>
          <w:szCs w:val="28"/>
        </w:rPr>
        <w:t>cognitionem</w:t>
      </w:r>
      <w:proofErr w:type="spellEnd"/>
      <w:r w:rsidR="002B4DFF">
        <w:rPr>
          <w:rFonts w:ascii="Times New Roman" w:hAnsi="Times New Roman" w:cs="Times New Roman"/>
          <w:i/>
          <w:sz w:val="28"/>
          <w:szCs w:val="28"/>
        </w:rPr>
        <w:t xml:space="preserve"> </w:t>
      </w:r>
      <w:r w:rsidR="002B4DFF">
        <w:rPr>
          <w:rFonts w:ascii="Times New Roman" w:hAnsi="Times New Roman" w:cs="Times New Roman"/>
          <w:sz w:val="28"/>
          <w:szCs w:val="28"/>
        </w:rPr>
        <w:t>(1</w:t>
      </w:r>
      <w:r w:rsidRPr="004E4D9C">
        <w:rPr>
          <w:rFonts w:ascii="Times New Roman" w:hAnsi="Times New Roman" w:cs="Times New Roman"/>
          <w:sz w:val="28"/>
          <w:szCs w:val="28"/>
        </w:rPr>
        <w:t xml:space="preserve">566), vyzdvihuje užitečnost historie, avšak v  lékařském smyslu, neboť umožňuje poznáním minulého (tj. v </w:t>
      </w:r>
      <w:proofErr w:type="spellStart"/>
      <w:r w:rsidRPr="004E4D9C">
        <w:rPr>
          <w:rFonts w:ascii="Times New Roman" w:hAnsi="Times New Roman" w:cs="Times New Roman"/>
          <w:sz w:val="28"/>
          <w:szCs w:val="28"/>
        </w:rPr>
        <w:t>Bodinově</w:t>
      </w:r>
      <w:proofErr w:type="spellEnd"/>
      <w:r w:rsidRPr="004E4D9C">
        <w:rPr>
          <w:rFonts w:ascii="Times New Roman" w:hAnsi="Times New Roman" w:cs="Times New Roman"/>
          <w:sz w:val="28"/>
          <w:szCs w:val="28"/>
        </w:rPr>
        <w:t xml:space="preserve"> podání minulosti politické a právní) lépe ošetřovat přítomné; současně podává návod, jak studovat dějepisné texty, aby tento užitek přinášely. Právě koncentrace na přítomnost a nedávnou minulost představuje jednu z  důležitých charakteristik, další je změna ve vnímání času, daná mj. i rozmachem mechanických hodin. Čas spásy se odděloval od času dějin, v čemž hrály roli politické události (zánik Byzance, expanze Osmanů, reformace, ale i zámořské objevy), kvůli kterým se dosavadní přehledné koncepty ukazovaly </w:t>
      </w:r>
      <w:proofErr w:type="gramStart"/>
      <w:r w:rsidRPr="004E4D9C">
        <w:rPr>
          <w:rFonts w:ascii="Times New Roman" w:hAnsi="Times New Roman" w:cs="Times New Roman"/>
          <w:sz w:val="28"/>
          <w:szCs w:val="28"/>
        </w:rPr>
        <w:t>problematické a bylo</w:t>
      </w:r>
      <w:proofErr w:type="gramEnd"/>
      <w:r w:rsidRPr="004E4D9C">
        <w:rPr>
          <w:rFonts w:ascii="Times New Roman" w:hAnsi="Times New Roman" w:cs="Times New Roman"/>
          <w:sz w:val="28"/>
          <w:szCs w:val="28"/>
        </w:rPr>
        <w:t xml:space="preserve"> třeba je různě upravovat. Pohled na úpadek předešlých velkých říší vedl k  úvahám o průběhu dějin jako sinusoidě, opětovných </w:t>
      </w:r>
      <w:proofErr w:type="gramStart"/>
      <w:r w:rsidRPr="004E4D9C">
        <w:rPr>
          <w:rFonts w:ascii="Times New Roman" w:hAnsi="Times New Roman" w:cs="Times New Roman"/>
          <w:sz w:val="28"/>
          <w:szCs w:val="28"/>
        </w:rPr>
        <w:t>úpadcích</w:t>
      </w:r>
      <w:proofErr w:type="gramEnd"/>
      <w:r w:rsidRPr="004E4D9C">
        <w:rPr>
          <w:rFonts w:ascii="Times New Roman" w:hAnsi="Times New Roman" w:cs="Times New Roman"/>
          <w:sz w:val="28"/>
          <w:szCs w:val="28"/>
        </w:rPr>
        <w:t xml:space="preserve"> a vzestupech, takže ani přítomné říše nejsou věčné a jejich čas se nemusí shodovat s křesťanským časem. Tyto úvahy byly podpořeny též stále hojnějším setkáváním s mimoevropskými říšemi, které dalo nové impulsy cestopisnému žánru, a prohlubujícím se poznáním starověkých dějin.</w:t>
      </w:r>
    </w:p>
    <w:p w:rsidR="00220189" w:rsidRDefault="00220189" w:rsidP="004E4D9C">
      <w:pPr>
        <w:jc w:val="both"/>
        <w:rPr>
          <w:rFonts w:ascii="Times New Roman" w:hAnsi="Times New Roman" w:cs="Times New Roman"/>
          <w:sz w:val="28"/>
          <w:szCs w:val="28"/>
        </w:rPr>
      </w:pPr>
    </w:p>
    <w:p w:rsidR="00220189" w:rsidRDefault="00220189" w:rsidP="00220189">
      <w:pPr>
        <w:jc w:val="both"/>
        <w:rPr>
          <w:rFonts w:ascii="Times New Roman" w:hAnsi="Times New Roman" w:cs="Times New Roman"/>
          <w:sz w:val="28"/>
          <w:szCs w:val="28"/>
        </w:rPr>
      </w:pPr>
      <w:bookmarkStart w:id="0" w:name="_GoBack"/>
      <w:r w:rsidRPr="00F64467">
        <w:rPr>
          <w:rFonts w:ascii="Times New Roman" w:hAnsi="Times New Roman" w:cs="Times New Roman"/>
          <w:b/>
          <w:sz w:val="28"/>
          <w:szCs w:val="28"/>
        </w:rPr>
        <w:lastRenderedPageBreak/>
        <w:t>Českou historiografii</w:t>
      </w:r>
      <w:r>
        <w:rPr>
          <w:rFonts w:ascii="Times New Roman" w:hAnsi="Times New Roman" w:cs="Times New Roman"/>
          <w:sz w:val="28"/>
          <w:szCs w:val="28"/>
        </w:rPr>
        <w:t xml:space="preserve"> </w:t>
      </w:r>
      <w:r>
        <w:rPr>
          <w:rFonts w:ascii="Times New Roman" w:hAnsi="Times New Roman" w:cs="Times New Roman"/>
          <w:sz w:val="28"/>
          <w:szCs w:val="28"/>
        </w:rPr>
        <w:t>humanismu a renesance</w:t>
      </w:r>
      <w:r>
        <w:rPr>
          <w:rFonts w:ascii="Times New Roman" w:hAnsi="Times New Roman" w:cs="Times New Roman"/>
          <w:sz w:val="28"/>
          <w:szCs w:val="28"/>
        </w:rPr>
        <w:t xml:space="preserve"> je potřeba nastudovat z publikace:</w:t>
      </w:r>
    </w:p>
    <w:p w:rsidR="00220189" w:rsidRPr="004E4D9C" w:rsidRDefault="00220189" w:rsidP="00220189">
      <w:pPr>
        <w:jc w:val="both"/>
        <w:rPr>
          <w:rFonts w:ascii="Times New Roman" w:hAnsi="Times New Roman" w:cs="Times New Roman"/>
          <w:sz w:val="28"/>
          <w:szCs w:val="28"/>
        </w:rPr>
      </w:pPr>
      <w:r>
        <w:rPr>
          <w:rFonts w:ascii="Times New Roman" w:hAnsi="Times New Roman" w:cs="Times New Roman"/>
          <w:sz w:val="28"/>
          <w:szCs w:val="28"/>
        </w:rPr>
        <w:t xml:space="preserve">KUTNAR, František. </w:t>
      </w:r>
      <w:r w:rsidRPr="00F64467">
        <w:rPr>
          <w:rFonts w:ascii="Times New Roman" w:hAnsi="Times New Roman" w:cs="Times New Roman"/>
          <w:i/>
          <w:sz w:val="28"/>
          <w:szCs w:val="28"/>
        </w:rPr>
        <w:t>Přehledné dějiny českého a slovenského dějepisectví</w:t>
      </w:r>
      <w:r>
        <w:rPr>
          <w:rFonts w:ascii="Times New Roman" w:hAnsi="Times New Roman" w:cs="Times New Roman"/>
          <w:sz w:val="28"/>
          <w:szCs w:val="28"/>
        </w:rPr>
        <w:t>. Praha: SPN, 1973, s.</w:t>
      </w:r>
      <w:r w:rsidR="00805359">
        <w:rPr>
          <w:rFonts w:ascii="Times New Roman" w:hAnsi="Times New Roman" w:cs="Times New Roman"/>
          <w:sz w:val="28"/>
          <w:szCs w:val="28"/>
        </w:rPr>
        <w:t xml:space="preserve"> 51-63.</w:t>
      </w:r>
    </w:p>
    <w:bookmarkEnd w:id="0"/>
    <w:p w:rsidR="00B078F8" w:rsidRPr="004E4D9C" w:rsidRDefault="00B078F8" w:rsidP="004E4D9C">
      <w:pPr>
        <w:jc w:val="both"/>
        <w:rPr>
          <w:rFonts w:ascii="Times New Roman" w:hAnsi="Times New Roman" w:cs="Times New Roman"/>
          <w:sz w:val="28"/>
          <w:szCs w:val="28"/>
        </w:rPr>
      </w:pPr>
    </w:p>
    <w:p w:rsidR="00B078F8" w:rsidRPr="00B078F8" w:rsidRDefault="00B078F8" w:rsidP="004E4D9C">
      <w:pPr>
        <w:jc w:val="both"/>
        <w:rPr>
          <w:b/>
        </w:rPr>
      </w:pPr>
      <w:r w:rsidRPr="00B078F8">
        <w:rPr>
          <w:b/>
        </w:rPr>
        <w:t>K dalšímu čtení:</w:t>
      </w:r>
    </w:p>
    <w:p w:rsidR="00B078F8" w:rsidRDefault="00B078F8" w:rsidP="004E4D9C">
      <w:pPr>
        <w:jc w:val="both"/>
      </w:pPr>
      <w:r>
        <w:t xml:space="preserve">Beneš, Zdeněk: Historický text a historická skutečnost. Studie o principech českého </w:t>
      </w:r>
    </w:p>
    <w:p w:rsidR="00B078F8" w:rsidRDefault="00B078F8" w:rsidP="004E4D9C">
      <w:pPr>
        <w:jc w:val="both"/>
      </w:pPr>
      <w:r>
        <w:t>humanistického dějepisectví. Praha 1993.</w:t>
      </w:r>
    </w:p>
    <w:p w:rsidR="00B078F8" w:rsidRDefault="00B078F8" w:rsidP="004E4D9C">
      <w:pPr>
        <w:jc w:val="both"/>
      </w:pPr>
      <w:proofErr w:type="spellStart"/>
      <w:r>
        <w:t>Burke</w:t>
      </w:r>
      <w:proofErr w:type="spellEnd"/>
      <w:r>
        <w:t>, Peter: Italská renesance. Kultura a společnost v Itálii. Praha 1996.</w:t>
      </w:r>
    </w:p>
    <w:p w:rsidR="00B078F8" w:rsidRDefault="00B078F8" w:rsidP="004E4D9C">
      <w:pPr>
        <w:jc w:val="both"/>
      </w:pPr>
      <w:proofErr w:type="spellStart"/>
      <w:r>
        <w:t>Burke</w:t>
      </w:r>
      <w:proofErr w:type="spellEnd"/>
      <w:r>
        <w:t xml:space="preserve">, Peter: Společnost a vědění. Od </w:t>
      </w:r>
      <w:proofErr w:type="spellStart"/>
      <w:r>
        <w:t>Gutenberga</w:t>
      </w:r>
      <w:proofErr w:type="spellEnd"/>
      <w:r>
        <w:t xml:space="preserve"> k Diderotovi. Praha 2007.</w:t>
      </w:r>
    </w:p>
    <w:p w:rsidR="00B078F8" w:rsidRDefault="00B078F8" w:rsidP="004E4D9C">
      <w:pPr>
        <w:jc w:val="both"/>
      </w:pPr>
      <w:proofErr w:type="spellStart"/>
      <w:r>
        <w:t>Hankins</w:t>
      </w:r>
      <w:proofErr w:type="spellEnd"/>
      <w:r>
        <w:t>, James (</w:t>
      </w:r>
      <w:proofErr w:type="spellStart"/>
      <w:r>
        <w:t>ed</w:t>
      </w:r>
      <w:proofErr w:type="spellEnd"/>
      <w:r>
        <w:t>.): Renesanční filosofie. Praha 2011.</w:t>
      </w:r>
    </w:p>
    <w:p w:rsidR="00B078F8" w:rsidRDefault="00B078F8" w:rsidP="004E4D9C">
      <w:pPr>
        <w:jc w:val="both"/>
      </w:pPr>
      <w:r>
        <w:t>Kopecký, Milan: Český humanismus. Praha 1988.</w:t>
      </w:r>
    </w:p>
    <w:p w:rsidR="00B078F8" w:rsidRDefault="00B078F8" w:rsidP="004E4D9C">
      <w:pPr>
        <w:jc w:val="both"/>
      </w:pPr>
      <w:r>
        <w:t xml:space="preserve">Kudrna, </w:t>
      </w:r>
      <w:proofErr w:type="spellStart"/>
      <w:r>
        <w:t>Jaroslav:Machiavelli</w:t>
      </w:r>
      <w:proofErr w:type="spellEnd"/>
      <w:r>
        <w:t xml:space="preserve"> a </w:t>
      </w:r>
      <w:proofErr w:type="spellStart"/>
      <w:r>
        <w:t>Guicciardini</w:t>
      </w:r>
      <w:proofErr w:type="spellEnd"/>
      <w:r>
        <w:t xml:space="preserve">. K typologii </w:t>
      </w:r>
      <w:proofErr w:type="spellStart"/>
      <w:r>
        <w:t>historickopolitického</w:t>
      </w:r>
      <w:proofErr w:type="spellEnd"/>
      <w:r>
        <w:t xml:space="preserve"> myšlení </w:t>
      </w:r>
    </w:p>
    <w:p w:rsidR="005222DE" w:rsidRDefault="00B078F8" w:rsidP="004E4D9C">
      <w:pPr>
        <w:jc w:val="both"/>
      </w:pPr>
      <w:r>
        <w:t>pozdní italské renesance. Praha 1969</w:t>
      </w:r>
    </w:p>
    <w:sectPr w:rsidR="005222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8F8"/>
    <w:rsid w:val="00220189"/>
    <w:rsid w:val="002B4DFF"/>
    <w:rsid w:val="004E4D9C"/>
    <w:rsid w:val="005222DE"/>
    <w:rsid w:val="00805359"/>
    <w:rsid w:val="00B078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325A0"/>
  <w15:chartTrackingRefBased/>
  <w15:docId w15:val="{444B9191-FF06-4EEA-834D-3594A80A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B078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078F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1341</Words>
  <Characters>7912</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4</cp:revision>
  <dcterms:created xsi:type="dcterms:W3CDTF">2020-04-22T15:25:00Z</dcterms:created>
  <dcterms:modified xsi:type="dcterms:W3CDTF">2020-05-25T18:47:00Z</dcterms:modified>
</cp:coreProperties>
</file>