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D97" w:rsidRDefault="00756D97" w:rsidP="00756D97">
      <w:pPr>
        <w:pStyle w:val="Nadpis1"/>
      </w:pPr>
      <w:r>
        <w:t>Německé dějepisectví</w:t>
      </w:r>
      <w:r>
        <w:t xml:space="preserve"> v českých zemích </w:t>
      </w:r>
    </w:p>
    <w:p w:rsidR="00756D97" w:rsidRPr="00756D97" w:rsidRDefault="00756D97" w:rsidP="00756D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0B64" w:rsidRDefault="00756D97" w:rsidP="00756D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6D97">
        <w:rPr>
          <w:rFonts w:ascii="Times New Roman" w:hAnsi="Times New Roman" w:cs="Times New Roman"/>
          <w:sz w:val="28"/>
          <w:szCs w:val="28"/>
        </w:rPr>
        <w:t>V německé</w:t>
      </w:r>
      <w:proofErr w:type="gramEnd"/>
      <w:r w:rsidRPr="00756D97">
        <w:rPr>
          <w:rFonts w:ascii="Times New Roman" w:hAnsi="Times New Roman" w:cs="Times New Roman"/>
          <w:sz w:val="28"/>
          <w:szCs w:val="28"/>
        </w:rPr>
        <w:t xml:space="preserve"> dějepisectví v českých zemích se stále ještě silně projevoval silný </w:t>
      </w:r>
      <w:proofErr w:type="gramStart"/>
      <w:r w:rsidRPr="00756D97">
        <w:rPr>
          <w:rFonts w:ascii="Times New Roman" w:hAnsi="Times New Roman" w:cs="Times New Roman"/>
          <w:sz w:val="28"/>
          <w:szCs w:val="28"/>
        </w:rPr>
        <w:t>nacionalismus, od</w:t>
      </w:r>
      <w:proofErr w:type="gramEnd"/>
      <w:r w:rsidRPr="00756D97">
        <w:rPr>
          <w:rFonts w:ascii="Times New Roman" w:hAnsi="Times New Roman" w:cs="Times New Roman"/>
          <w:sz w:val="28"/>
          <w:szCs w:val="28"/>
        </w:rPr>
        <w:t xml:space="preserve"> kterého se národnostně čeští historici již z velké části dokázali oprostit. Nejostřeji se nacionalismus projevoval u </w:t>
      </w:r>
      <w:r w:rsidRPr="00756D97">
        <w:rPr>
          <w:rFonts w:ascii="Times New Roman" w:hAnsi="Times New Roman" w:cs="Times New Roman"/>
          <w:b/>
          <w:sz w:val="28"/>
          <w:szCs w:val="28"/>
        </w:rPr>
        <w:t xml:space="preserve">Bertolda </w:t>
      </w:r>
      <w:proofErr w:type="spellStart"/>
      <w:r w:rsidRPr="00756D97">
        <w:rPr>
          <w:rFonts w:ascii="Times New Roman" w:hAnsi="Times New Roman" w:cs="Times New Roman"/>
          <w:b/>
          <w:sz w:val="28"/>
          <w:szCs w:val="28"/>
        </w:rPr>
        <w:t>Bretholze</w:t>
      </w:r>
      <w:proofErr w:type="spellEnd"/>
      <w:r w:rsidRPr="00756D97">
        <w:rPr>
          <w:rFonts w:ascii="Times New Roman" w:hAnsi="Times New Roman" w:cs="Times New Roman"/>
          <w:sz w:val="28"/>
          <w:szCs w:val="28"/>
        </w:rPr>
        <w:t xml:space="preserve"> (1862–1936), jenž pracoval jako brněnský archivář a po Dudíkovi se stal významným moravským historiografem. Ve svém díle </w:t>
      </w:r>
      <w:proofErr w:type="spellStart"/>
      <w:r w:rsidRPr="00756D97">
        <w:rPr>
          <w:rFonts w:ascii="Times New Roman" w:hAnsi="Times New Roman" w:cs="Times New Roman"/>
          <w:i/>
          <w:sz w:val="28"/>
          <w:szCs w:val="28"/>
        </w:rPr>
        <w:t>Geschichte</w:t>
      </w:r>
      <w:proofErr w:type="spellEnd"/>
      <w:r w:rsidRPr="00756D9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56D97">
        <w:rPr>
          <w:rFonts w:ascii="Times New Roman" w:hAnsi="Times New Roman" w:cs="Times New Roman"/>
          <w:i/>
          <w:sz w:val="28"/>
          <w:szCs w:val="28"/>
        </w:rPr>
        <w:t>Böhmens</w:t>
      </w:r>
      <w:proofErr w:type="spellEnd"/>
      <w:r w:rsidRPr="00756D9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56D97">
        <w:rPr>
          <w:rFonts w:ascii="Times New Roman" w:hAnsi="Times New Roman" w:cs="Times New Roman"/>
          <w:i/>
          <w:sz w:val="28"/>
          <w:szCs w:val="28"/>
        </w:rPr>
        <w:t>und</w:t>
      </w:r>
      <w:proofErr w:type="spellEnd"/>
      <w:r w:rsidRPr="00756D9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56D97">
        <w:rPr>
          <w:rFonts w:ascii="Times New Roman" w:hAnsi="Times New Roman" w:cs="Times New Roman"/>
          <w:i/>
          <w:sz w:val="28"/>
          <w:szCs w:val="28"/>
        </w:rPr>
        <w:t>Mährens</w:t>
      </w:r>
      <w:proofErr w:type="spellEnd"/>
      <w:r w:rsidRPr="00756D97">
        <w:rPr>
          <w:rFonts w:ascii="Times New Roman" w:hAnsi="Times New Roman" w:cs="Times New Roman"/>
          <w:i/>
          <w:sz w:val="28"/>
          <w:szCs w:val="28"/>
        </w:rPr>
        <w:t xml:space="preserve"> bis </w:t>
      </w:r>
      <w:proofErr w:type="spellStart"/>
      <w:r w:rsidRPr="00756D97">
        <w:rPr>
          <w:rFonts w:ascii="Times New Roman" w:hAnsi="Times New Roman" w:cs="Times New Roman"/>
          <w:i/>
          <w:sz w:val="28"/>
          <w:szCs w:val="28"/>
        </w:rPr>
        <w:t>zum</w:t>
      </w:r>
      <w:proofErr w:type="spellEnd"/>
      <w:r w:rsidRPr="00756D9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56D97">
        <w:rPr>
          <w:rFonts w:ascii="Times New Roman" w:hAnsi="Times New Roman" w:cs="Times New Roman"/>
          <w:i/>
          <w:sz w:val="28"/>
          <w:szCs w:val="28"/>
        </w:rPr>
        <w:t>Aussterben</w:t>
      </w:r>
      <w:proofErr w:type="spellEnd"/>
      <w:r w:rsidRPr="00756D97">
        <w:rPr>
          <w:rFonts w:ascii="Times New Roman" w:hAnsi="Times New Roman" w:cs="Times New Roman"/>
          <w:i/>
          <w:sz w:val="28"/>
          <w:szCs w:val="28"/>
        </w:rPr>
        <w:t xml:space="preserve"> der </w:t>
      </w:r>
      <w:proofErr w:type="spellStart"/>
      <w:r w:rsidRPr="00756D97">
        <w:rPr>
          <w:rFonts w:ascii="Times New Roman" w:hAnsi="Times New Roman" w:cs="Times New Roman"/>
          <w:i/>
          <w:sz w:val="28"/>
          <w:szCs w:val="28"/>
        </w:rPr>
        <w:t>Přemysliden</w:t>
      </w:r>
      <w:proofErr w:type="spellEnd"/>
      <w:r w:rsidRPr="00756D97">
        <w:rPr>
          <w:rFonts w:ascii="Times New Roman" w:hAnsi="Times New Roman" w:cs="Times New Roman"/>
          <w:i/>
          <w:sz w:val="28"/>
          <w:szCs w:val="28"/>
        </w:rPr>
        <w:t xml:space="preserve"> 1306</w:t>
      </w:r>
      <w:r w:rsidRPr="00756D97">
        <w:rPr>
          <w:rFonts w:ascii="Times New Roman" w:hAnsi="Times New Roman" w:cs="Times New Roman"/>
          <w:sz w:val="28"/>
          <w:szCs w:val="28"/>
        </w:rPr>
        <w:t xml:space="preserve"> „opravoval“ míru vlivu německého živlu: tvrdil, že Němci v českých zemích přebývali již od doby Markomanů a že žádná německá kolonizace ve 13. století nebyla, a společnost v českých zemích tedy byla již od počátku českoněmecká. Na tomto základě vystavěl teorii, že když žili čeští a němečtí obyvatelé v míru, vedlo se všem dobře, boje mezi těmito národy však vedly k úpadku. Této teorie později využili nacisté, ačkoli </w:t>
      </w:r>
      <w:proofErr w:type="spellStart"/>
      <w:r w:rsidRPr="00756D97">
        <w:rPr>
          <w:rFonts w:ascii="Times New Roman" w:hAnsi="Times New Roman" w:cs="Times New Roman"/>
          <w:sz w:val="28"/>
          <w:szCs w:val="28"/>
        </w:rPr>
        <w:t>Bretholzův</w:t>
      </w:r>
      <w:proofErr w:type="spellEnd"/>
      <w:r w:rsidRPr="00756D97">
        <w:rPr>
          <w:rFonts w:ascii="Times New Roman" w:hAnsi="Times New Roman" w:cs="Times New Roman"/>
          <w:sz w:val="28"/>
          <w:szCs w:val="28"/>
        </w:rPr>
        <w:t xml:space="preserve"> koncept již záhy po jeho vzniku vyvrátili nejen Pekař a Šusta, ale také rakouský historik Adolf </w:t>
      </w:r>
      <w:proofErr w:type="spellStart"/>
      <w:r w:rsidRPr="00756D97">
        <w:rPr>
          <w:rFonts w:ascii="Times New Roman" w:hAnsi="Times New Roman" w:cs="Times New Roman"/>
          <w:sz w:val="28"/>
          <w:szCs w:val="28"/>
        </w:rPr>
        <w:t>Zycha</w:t>
      </w:r>
      <w:proofErr w:type="spellEnd"/>
      <w:r w:rsidRPr="00756D97">
        <w:rPr>
          <w:rFonts w:ascii="Times New Roman" w:hAnsi="Times New Roman" w:cs="Times New Roman"/>
          <w:sz w:val="28"/>
          <w:szCs w:val="28"/>
        </w:rPr>
        <w:t xml:space="preserve"> nebo česko-německý historik </w:t>
      </w:r>
      <w:r w:rsidRPr="00756D97">
        <w:rPr>
          <w:rFonts w:ascii="Times New Roman" w:hAnsi="Times New Roman" w:cs="Times New Roman"/>
          <w:b/>
          <w:sz w:val="28"/>
          <w:szCs w:val="28"/>
        </w:rPr>
        <w:t xml:space="preserve">Wilhelm </w:t>
      </w:r>
      <w:proofErr w:type="spellStart"/>
      <w:r w:rsidRPr="00756D97">
        <w:rPr>
          <w:rFonts w:ascii="Times New Roman" w:hAnsi="Times New Roman" w:cs="Times New Roman"/>
          <w:b/>
          <w:sz w:val="28"/>
          <w:szCs w:val="28"/>
        </w:rPr>
        <w:t>Wostry</w:t>
      </w:r>
      <w:proofErr w:type="spellEnd"/>
      <w:r w:rsidRPr="00756D97">
        <w:rPr>
          <w:rFonts w:ascii="Times New Roman" w:hAnsi="Times New Roman" w:cs="Times New Roman"/>
          <w:sz w:val="28"/>
          <w:szCs w:val="28"/>
        </w:rPr>
        <w:t xml:space="preserve">. Již tradičně pak někteří němečtí historikové (například </w:t>
      </w:r>
      <w:r w:rsidRPr="00756D97">
        <w:rPr>
          <w:rFonts w:ascii="Times New Roman" w:hAnsi="Times New Roman" w:cs="Times New Roman"/>
          <w:b/>
          <w:sz w:val="28"/>
          <w:szCs w:val="28"/>
        </w:rPr>
        <w:t xml:space="preserve">August </w:t>
      </w:r>
      <w:proofErr w:type="spellStart"/>
      <w:r w:rsidRPr="00756D97">
        <w:rPr>
          <w:rFonts w:ascii="Times New Roman" w:hAnsi="Times New Roman" w:cs="Times New Roman"/>
          <w:b/>
          <w:sz w:val="28"/>
          <w:szCs w:val="28"/>
        </w:rPr>
        <w:t>Naegle</w:t>
      </w:r>
      <w:proofErr w:type="spellEnd"/>
      <w:r w:rsidRPr="00756D97">
        <w:rPr>
          <w:rFonts w:ascii="Times New Roman" w:hAnsi="Times New Roman" w:cs="Times New Roman"/>
          <w:sz w:val="28"/>
          <w:szCs w:val="28"/>
        </w:rPr>
        <w:t>) popírali vliv cyrilometodějské misie a prosazovali tvrzení, že české země přijaly křesťanství z východofranské říše.</w:t>
      </w:r>
    </w:p>
    <w:p w:rsidR="00756D97" w:rsidRDefault="00756D97" w:rsidP="00756D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Podrobněji:</w:t>
      </w:r>
    </w:p>
    <w:p w:rsidR="00756D97" w:rsidRDefault="00756D97" w:rsidP="00756D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KUTNAR, František. </w:t>
      </w:r>
      <w:r>
        <w:rPr>
          <w:rFonts w:ascii="Times New Roman" w:hAnsi="Times New Roman" w:cs="Times New Roman"/>
          <w:i/>
          <w:sz w:val="28"/>
          <w:szCs w:val="28"/>
        </w:rPr>
        <w:t>Přehledné dějiny českého a slovenského dějepisectví</w:t>
      </w:r>
      <w:r>
        <w:rPr>
          <w:rFonts w:ascii="Times New Roman" w:hAnsi="Times New Roman" w:cs="Times New Roman"/>
          <w:sz w:val="28"/>
          <w:szCs w:val="28"/>
        </w:rPr>
        <w:t>. Praha: SPN, 1973, s. 1</w:t>
      </w:r>
      <w:r>
        <w:rPr>
          <w:rFonts w:ascii="Times New Roman" w:hAnsi="Times New Roman" w:cs="Times New Roman"/>
          <w:sz w:val="28"/>
          <w:szCs w:val="28"/>
        </w:rPr>
        <w:t xml:space="preserve">79-184; 246-253;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KUTNAR, František. </w:t>
      </w:r>
      <w:r>
        <w:rPr>
          <w:rFonts w:ascii="Times New Roman" w:hAnsi="Times New Roman" w:cs="Times New Roman"/>
          <w:i/>
          <w:sz w:val="28"/>
          <w:szCs w:val="28"/>
        </w:rPr>
        <w:t>Přehledné dějiny českého a slovenského dějepisectví</w:t>
      </w:r>
      <w:r>
        <w:rPr>
          <w:rFonts w:ascii="Times New Roman" w:hAnsi="Times New Roman" w:cs="Times New Roman"/>
          <w:i/>
          <w:sz w:val="28"/>
          <w:szCs w:val="28"/>
        </w:rPr>
        <w:t xml:space="preserve"> II</w:t>
      </w:r>
      <w:r>
        <w:rPr>
          <w:rFonts w:ascii="Times New Roman" w:hAnsi="Times New Roman" w:cs="Times New Roman"/>
          <w:sz w:val="28"/>
          <w:szCs w:val="28"/>
        </w:rPr>
        <w:t>. Praha: SPN, 19</w:t>
      </w:r>
      <w:r>
        <w:rPr>
          <w:rFonts w:ascii="Times New Roman" w:hAnsi="Times New Roman" w:cs="Times New Roman"/>
          <w:sz w:val="28"/>
          <w:szCs w:val="28"/>
        </w:rPr>
        <w:t>78</w:t>
      </w:r>
      <w:r>
        <w:rPr>
          <w:rFonts w:ascii="Times New Roman" w:hAnsi="Times New Roman" w:cs="Times New Roman"/>
          <w:sz w:val="28"/>
          <w:szCs w:val="28"/>
        </w:rPr>
        <w:t xml:space="preserve">, s. </w:t>
      </w:r>
      <w:r>
        <w:rPr>
          <w:rFonts w:ascii="Times New Roman" w:hAnsi="Times New Roman" w:cs="Times New Roman"/>
          <w:sz w:val="28"/>
          <w:szCs w:val="28"/>
        </w:rPr>
        <w:t>69-79; 222-231; 439-452.</w:t>
      </w:r>
    </w:p>
    <w:bookmarkEnd w:id="0"/>
    <w:p w:rsidR="00756D97" w:rsidRPr="00756D97" w:rsidRDefault="00756D97" w:rsidP="00756D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56D97" w:rsidRPr="00756D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D97"/>
    <w:rsid w:val="00756D97"/>
    <w:rsid w:val="008F0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2A077"/>
  <w15:chartTrackingRefBased/>
  <w15:docId w15:val="{6DDDBA5C-8D9F-4CD0-BD63-4AC7BCBA2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56D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56D9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56D9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56D9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7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2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213</Words>
  <Characters>1260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Hewlett-Packard Company</cp:lastModifiedBy>
  <cp:revision>1</cp:revision>
  <dcterms:created xsi:type="dcterms:W3CDTF">2020-05-25T19:34:00Z</dcterms:created>
  <dcterms:modified xsi:type="dcterms:W3CDTF">2020-05-25T19:41:00Z</dcterms:modified>
</cp:coreProperties>
</file>