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FF6" w:rsidRDefault="006B5FF6" w:rsidP="006B5FF6">
      <w:pPr>
        <w:pStyle w:val="Nadpis1"/>
      </w:pPr>
      <w:r w:rsidRPr="006B5FF6">
        <w:t>Středověké dějepisectví</w:t>
      </w:r>
    </w:p>
    <w:p w:rsidR="006B5FF6" w:rsidRPr="006B5FF6" w:rsidRDefault="006B5FF6" w:rsidP="006B5FF6"/>
    <w:p w:rsidR="006B5FF6" w:rsidRPr="009425BE" w:rsidRDefault="006B5FF6" w:rsidP="004720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5BE">
        <w:rPr>
          <w:rFonts w:ascii="Times New Roman" w:hAnsi="Times New Roman" w:cs="Times New Roman"/>
          <w:sz w:val="28"/>
          <w:szCs w:val="28"/>
        </w:rPr>
        <w:t xml:space="preserve">Dědictví starověkého dějepisectví bylo po rozdělení římského impéria a zániku jeho západní části udržováno ve východořímské (byzantské) říši. I zde ale podléhalo změnám, jež přineslo křesťanství. Rozmach nového náboženství výrazně ovlivnil koncepce času </w:t>
      </w:r>
      <w:r w:rsidR="009425BE">
        <w:rPr>
          <w:rFonts w:ascii="Times New Roman" w:hAnsi="Times New Roman" w:cs="Times New Roman"/>
          <w:sz w:val="28"/>
          <w:szCs w:val="28"/>
        </w:rPr>
        <w:t>a filoz</w:t>
      </w:r>
      <w:r w:rsidRPr="009425BE">
        <w:rPr>
          <w:rFonts w:ascii="Times New Roman" w:hAnsi="Times New Roman" w:cs="Times New Roman"/>
          <w:sz w:val="28"/>
          <w:szCs w:val="28"/>
        </w:rPr>
        <w:t xml:space="preserve">ofii dějin. Byť již řečtí a římští historici pojímali čas lineárně, jako pravidelné kontinuum, s díly </w:t>
      </w:r>
      <w:r w:rsidRPr="009425BE">
        <w:rPr>
          <w:rFonts w:ascii="Times New Roman" w:hAnsi="Times New Roman" w:cs="Times New Roman"/>
          <w:b/>
          <w:sz w:val="28"/>
          <w:szCs w:val="28"/>
        </w:rPr>
        <w:t>sv. Augustina</w:t>
      </w:r>
      <w:r w:rsidRPr="009425BE">
        <w:rPr>
          <w:rFonts w:ascii="Times New Roman" w:hAnsi="Times New Roman" w:cs="Times New Roman"/>
          <w:sz w:val="28"/>
          <w:szCs w:val="28"/>
        </w:rPr>
        <w:t xml:space="preserve"> (354–430) </w:t>
      </w:r>
      <w:r w:rsidRPr="009425BE">
        <w:rPr>
          <w:rFonts w:ascii="Times New Roman" w:hAnsi="Times New Roman" w:cs="Times New Roman"/>
          <w:i/>
          <w:sz w:val="28"/>
          <w:szCs w:val="28"/>
        </w:rPr>
        <w:t>O Boží obci</w:t>
      </w:r>
      <w:r w:rsidR="009425BE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a autobiograficky laděnými </w:t>
      </w:r>
      <w:r w:rsidRPr="009425BE">
        <w:rPr>
          <w:rFonts w:ascii="Times New Roman" w:hAnsi="Times New Roman" w:cs="Times New Roman"/>
          <w:i/>
          <w:sz w:val="28"/>
          <w:szCs w:val="28"/>
        </w:rPr>
        <w:t>Vyznáními</w:t>
      </w:r>
      <w:r w:rsidRPr="009425BE">
        <w:rPr>
          <w:rFonts w:ascii="Times New Roman" w:hAnsi="Times New Roman" w:cs="Times New Roman"/>
          <w:sz w:val="28"/>
          <w:szCs w:val="28"/>
        </w:rPr>
        <w:t xml:space="preserve"> byl položen základ křesťanského konceptu času jako Božího výtvoru, linearity uzavřené mezi akty stvoření a posledního soudu, a v principu nečasové věčnosti (snad dostatečně proslaveny jsou Augustinovy výroky </w:t>
      </w:r>
      <w:r w:rsidRPr="009425BE">
        <w:rPr>
          <w:rFonts w:ascii="Times New Roman" w:hAnsi="Times New Roman" w:cs="Times New Roman"/>
          <w:i/>
          <w:sz w:val="28"/>
          <w:szCs w:val="28"/>
        </w:rPr>
        <w:t>„Co jest tedy čas? Vím to, když se mne naň nikdo netáže; mám-li to však někomu vysvětlit, nevím</w:t>
      </w:r>
      <w:r w:rsidRPr="009425BE">
        <w:rPr>
          <w:rFonts w:ascii="Times New Roman" w:hAnsi="Times New Roman" w:cs="Times New Roman"/>
          <w:sz w:val="28"/>
          <w:szCs w:val="28"/>
        </w:rPr>
        <w:t xml:space="preserve">“; a odpověď na otázku, co dělal Bůh před stvořením času – tvořil peklo pro ty, kdo se takto ptají). Augustinova představa dvou obcí, dočasné pozemské a věčné nebeské, se též stala ústřední myšlenkou </w:t>
      </w:r>
      <w:r w:rsidR="009425BE">
        <w:rPr>
          <w:rFonts w:ascii="Times New Roman" w:hAnsi="Times New Roman" w:cs="Times New Roman"/>
          <w:sz w:val="28"/>
          <w:szCs w:val="28"/>
        </w:rPr>
        <w:t>křesťanské filoz</w:t>
      </w:r>
      <w:r w:rsidRPr="009425BE">
        <w:rPr>
          <w:rFonts w:ascii="Times New Roman" w:hAnsi="Times New Roman" w:cs="Times New Roman"/>
          <w:sz w:val="28"/>
          <w:szCs w:val="28"/>
        </w:rPr>
        <w:t>ofie dějin. Asi nejsložitější otázkou, jež je s  tímto nadčasovým a stále aktuálním autorem spojena, však je, kterak přimět studenty, aby jeho díla znovu četli.</w:t>
      </w:r>
      <w:r w:rsidR="009425BE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>Prosazení nové filosofie dějin si nezbytně žádalo i nové přístupy k periodizaci dějin. Augustinus, jeho současníci a následovníci se pochopitelně inspirovali jak římským, tak starozákonním dědictvím, a tak se prosadily tři hlavní přístupy k  periodizaci: triadický kosmologický (přírodní doba, čas Božího zákona a poté od příchodu Krista čas milosti), alegorický (podle stvoření světa v  šesti, resp. sedmi dnech) a biologický (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mundus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senescit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, svět stárne jako člověk v sedmi obdobích). Vlivem fascinace trojičními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schematy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převládaly až do novověku triadické periodizační systémy; stejně tak můžeme konstatovat, že až do novověku se udrželo pojetí dějin teleologické (tj. že dějiny směřují k  nějakému cíli), eschatologické (tímto cílem je spása) a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providencialistické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(jsou vedeny Boží prozřetelností). Nepřekvapí proto příliš, že prvá významnější díla křesťanského dějepisectví představují dějiny církve a osudy jejích mučedníků, jak je tomu např. v </w:t>
      </w:r>
      <w:r w:rsidRPr="009425BE">
        <w:rPr>
          <w:rFonts w:ascii="Times New Roman" w:hAnsi="Times New Roman" w:cs="Times New Roman"/>
          <w:i/>
          <w:sz w:val="28"/>
          <w:szCs w:val="28"/>
        </w:rPr>
        <w:t>Církevních dějinách</w:t>
      </w:r>
      <w:r w:rsidR="00942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25BE">
        <w:rPr>
          <w:rFonts w:ascii="Times New Roman" w:hAnsi="Times New Roman" w:cs="Times New Roman"/>
          <w:i/>
          <w:sz w:val="28"/>
          <w:szCs w:val="28"/>
        </w:rPr>
        <w:lastRenderedPageBreak/>
        <w:t>Eusebia</w:t>
      </w:r>
      <w:proofErr w:type="spellEnd"/>
      <w:r w:rsidRPr="009425BE">
        <w:rPr>
          <w:rFonts w:ascii="Times New Roman" w:hAnsi="Times New Roman" w:cs="Times New Roman"/>
          <w:i/>
          <w:sz w:val="28"/>
          <w:szCs w:val="28"/>
        </w:rPr>
        <w:t xml:space="preserve"> z </w:t>
      </w:r>
      <w:proofErr w:type="spellStart"/>
      <w:r w:rsidRPr="009425BE">
        <w:rPr>
          <w:rFonts w:ascii="Times New Roman" w:hAnsi="Times New Roman" w:cs="Times New Roman"/>
          <w:i/>
          <w:sz w:val="28"/>
          <w:szCs w:val="28"/>
        </w:rPr>
        <w:t>Caesareje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(ca 263–339), které se staly jedním z nejoblíbenějších historických děl středověku a patřily i k prvním tištěným knihám po vynálezu knihtisku.</w:t>
      </w:r>
      <w:r w:rsidR="009425BE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Historici pochopitelně patřili mezi vzdělance své doby, udržování úrovně klasické vzdělanosti se ale začalo komplikovat již v  posledních letech existence západořímské říše, natož pak v  dramatických stoletích, kdy se Evropa proměňovala vlivem nově příchozích kmenů. Roli nositele a uchovatele vzdělání, systematizovaného v  triviu a kvadriviu sedmera svobodných umění, převzala v západní a střední Evropě církev, a až do vzniku universit proto platilo jednoduché rozlišení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litteratus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=klerik,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illitteratus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>=laik. Monopol na vzdělání byl rovněž monopolem na dějiny. Učenci vycházející z klášterních a kapitulních škol vytvářeli základní charakteristiky středověkého křesťanského dějepisectví. Předním z  nich je topika, užívání ustálených obratů, epitet, rétorických figur i celých popisů určitých situací podle schémat, jež si osvojili během memorování klasických textů. Historie nadále tvořila součást rétoriky a byla posuzována jako literatura. To se ovšem týkalo kronikářství, nikoli analistiky (letopisectví), jehož cílem bylo zachovat pro paměť budoucnosti významné činy a události. Také středověké dějepisectví provázel mýtus počátků a vyprávění vesměs počínala důležitými biblickými událostmi, případně vycházela od mytických předků rodu či od zakladatelského aktu. Ztvárnění minulosti na foliích středověkých kronik není vedeno snahou o zjištění pravdy, nýbrž o vytvoření normativní minulosti – takového obrazu dějů, jak měly dle mínění autora správně proběhnout (proto jsou např. rytířům, kteří se potkají v bitvě, vkládány do úst dlouhé ušlechtilé promluvy). Pravda je Bůh, a netřeba ji tedy objevovat, stačí odkrýt závoje, jež ji skrývají lidským očím. Proces zjišťování pravdy tu představuje mentální operaci, jíž se lze oddávat v tichu klášterních cel či skriptorií, nikoli proces empirického zjišťování.</w:t>
      </w:r>
      <w:r w:rsidR="009425BE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Prvá díla křesťanského středověku se zaměřila na církevní </w:t>
      </w:r>
      <w:proofErr w:type="gramStart"/>
      <w:r w:rsidRPr="009425BE">
        <w:rPr>
          <w:rFonts w:ascii="Times New Roman" w:hAnsi="Times New Roman" w:cs="Times New Roman"/>
          <w:sz w:val="28"/>
          <w:szCs w:val="28"/>
        </w:rPr>
        <w:t>dějiny, v 6.–8. století</w:t>
      </w:r>
      <w:proofErr w:type="gramEnd"/>
      <w:r w:rsidRPr="009425BE">
        <w:rPr>
          <w:rFonts w:ascii="Times New Roman" w:hAnsi="Times New Roman" w:cs="Times New Roman"/>
          <w:sz w:val="28"/>
          <w:szCs w:val="28"/>
        </w:rPr>
        <w:t xml:space="preserve"> je následovala skupina kronik zabývajících se etniky, která budovala v kdysi římské Evropě nové říše. Zakladatel středověké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encyklopedistiky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</w:t>
      </w:r>
      <w:r w:rsidRPr="00F64467">
        <w:rPr>
          <w:rFonts w:ascii="Times New Roman" w:hAnsi="Times New Roman" w:cs="Times New Roman"/>
          <w:b/>
          <w:sz w:val="28"/>
          <w:szCs w:val="28"/>
        </w:rPr>
        <w:t>Isidor ze Sevilly</w:t>
      </w:r>
      <w:r w:rsidRPr="009425BE">
        <w:rPr>
          <w:rFonts w:ascii="Times New Roman" w:hAnsi="Times New Roman" w:cs="Times New Roman"/>
          <w:sz w:val="28"/>
          <w:szCs w:val="28"/>
        </w:rPr>
        <w:t xml:space="preserve"> psal o králích Gótů, Vandalů a Svévů, </w:t>
      </w:r>
      <w:r w:rsidRPr="00F64467">
        <w:rPr>
          <w:rFonts w:ascii="Times New Roman" w:hAnsi="Times New Roman" w:cs="Times New Roman"/>
          <w:b/>
          <w:sz w:val="28"/>
          <w:szCs w:val="28"/>
        </w:rPr>
        <w:t xml:space="preserve">Řehoř z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Tou</w:t>
      </w:r>
      <w:r w:rsidRPr="009425BE">
        <w:rPr>
          <w:rFonts w:ascii="Times New Roman" w:hAnsi="Times New Roman" w:cs="Times New Roman"/>
          <w:sz w:val="28"/>
          <w:szCs w:val="28"/>
        </w:rPr>
        <w:t>rsu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o Merovejcích </w:t>
      </w:r>
      <w:r w:rsidRPr="009425BE">
        <w:rPr>
          <w:rFonts w:ascii="Times New Roman" w:hAnsi="Times New Roman" w:cs="Times New Roman"/>
          <w:sz w:val="28"/>
          <w:szCs w:val="28"/>
        </w:rPr>
        <w:lastRenderedPageBreak/>
        <w:t xml:space="preserve">a „činech Božích skrze Franky“ (gesta </w:t>
      </w:r>
      <w:r w:rsidRPr="00F64467">
        <w:rPr>
          <w:rFonts w:ascii="Times New Roman" w:hAnsi="Times New Roman" w:cs="Times New Roman"/>
          <w:i/>
          <w:sz w:val="28"/>
          <w:szCs w:val="28"/>
        </w:rPr>
        <w:t xml:space="preserve">Dei per </w:t>
      </w:r>
      <w:proofErr w:type="spellStart"/>
      <w:r w:rsidRPr="00F64467">
        <w:rPr>
          <w:rFonts w:ascii="Times New Roman" w:hAnsi="Times New Roman" w:cs="Times New Roman"/>
          <w:i/>
          <w:sz w:val="28"/>
          <w:szCs w:val="28"/>
        </w:rPr>
        <w:t>Francos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), záměr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Bedy</w:t>
      </w:r>
      <w:proofErr w:type="spellEnd"/>
      <w:r w:rsidRPr="00F64467">
        <w:rPr>
          <w:rFonts w:ascii="Times New Roman" w:hAnsi="Times New Roman" w:cs="Times New Roman"/>
          <w:b/>
          <w:sz w:val="28"/>
          <w:szCs w:val="28"/>
        </w:rPr>
        <w:t xml:space="preserve"> Ctihodného</w:t>
      </w:r>
      <w:r w:rsidRPr="009425BE">
        <w:rPr>
          <w:rFonts w:ascii="Times New Roman" w:hAnsi="Times New Roman" w:cs="Times New Roman"/>
          <w:sz w:val="28"/>
          <w:szCs w:val="28"/>
        </w:rPr>
        <w:t xml:space="preserve"> pojednat o christianizaci Anglie se změnil v dějiny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Anglů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a Sasů, </w:t>
      </w:r>
      <w:r w:rsidRPr="00F64467">
        <w:rPr>
          <w:rFonts w:ascii="Times New Roman" w:hAnsi="Times New Roman" w:cs="Times New Roman"/>
          <w:b/>
          <w:sz w:val="28"/>
          <w:szCs w:val="28"/>
        </w:rPr>
        <w:t xml:space="preserve">Paulus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Diakonus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zanechal svědectví o Langobardech v severní Itálii,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Prokopios</w:t>
      </w:r>
      <w:proofErr w:type="spellEnd"/>
      <w:r w:rsidRPr="00F64467">
        <w:rPr>
          <w:rFonts w:ascii="Times New Roman" w:hAnsi="Times New Roman" w:cs="Times New Roman"/>
          <w:b/>
          <w:sz w:val="28"/>
          <w:szCs w:val="28"/>
        </w:rPr>
        <w:t xml:space="preserve"> z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Caesareje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o válkách byzantských císařů s Góty a tak bychom mohli pokračovat dále. S  výjimkou pasáží věnovaných bájným počátkům jde vesměs o díla věnovaná přítomnosti a nedávné minulosti, s  výjimkou ctihodného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Bedy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>, který si nechával provádět pramenné rešerše i u římské kurie a podroboval zprávy nejjemnější kritice (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subtilissima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examinatio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), o práce sice ovlivněné bohatým kulturním dědictvím antiky, avšak po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Liviově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vzoru mísící historky rozličné důvěryhodnosti a hledící spíše k literární a výchovné stránce textu.</w:t>
      </w:r>
      <w:r w:rsidR="00F64467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Karolinské reformy jako by vzaly středověkým učencům sílu k velkým kronikářským podnikům, o to více kvetla analistika. Zrod nástupnických říší na troskách karlovské a vznik nových království a knížectví ve střední, východní a severní Evropě vytvořil podmínky pro další vlnu kronik konce </w:t>
      </w:r>
      <w:proofErr w:type="gramStart"/>
      <w:r w:rsidRPr="009425BE">
        <w:rPr>
          <w:rFonts w:ascii="Times New Roman" w:hAnsi="Times New Roman" w:cs="Times New Roman"/>
          <w:sz w:val="28"/>
          <w:szCs w:val="28"/>
        </w:rPr>
        <w:t>10.–12</w:t>
      </w:r>
      <w:proofErr w:type="gramEnd"/>
      <w:r w:rsidRPr="009425BE">
        <w:rPr>
          <w:rFonts w:ascii="Times New Roman" w:hAnsi="Times New Roman" w:cs="Times New Roman"/>
          <w:sz w:val="28"/>
          <w:szCs w:val="28"/>
        </w:rPr>
        <w:t xml:space="preserve">. století, věnovaných tentokrát „národům“ a legitimizujícím jejich vládnoucí dynastie.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Richer</w:t>
      </w:r>
      <w:proofErr w:type="spellEnd"/>
      <w:r w:rsidRPr="00F64467">
        <w:rPr>
          <w:rFonts w:ascii="Times New Roman" w:hAnsi="Times New Roman" w:cs="Times New Roman"/>
          <w:b/>
          <w:sz w:val="28"/>
          <w:szCs w:val="28"/>
        </w:rPr>
        <w:t xml:space="preserve"> z  Remeše</w:t>
      </w:r>
      <w:r w:rsidRPr="009425BE">
        <w:rPr>
          <w:rFonts w:ascii="Times New Roman" w:hAnsi="Times New Roman" w:cs="Times New Roman"/>
          <w:sz w:val="28"/>
          <w:szCs w:val="28"/>
        </w:rPr>
        <w:t xml:space="preserve"> ospravedlňoval nástup Kapetovců ve Francii,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Gallus</w:t>
      </w:r>
      <w:proofErr w:type="spellEnd"/>
      <w:r w:rsidRPr="00F644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Anonymus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postavil svou kronikou jeden z pilířů piastovské moci v Polsku, totéž učinil </w:t>
      </w:r>
      <w:r w:rsidRPr="00F64467">
        <w:rPr>
          <w:rFonts w:ascii="Times New Roman" w:hAnsi="Times New Roman" w:cs="Times New Roman"/>
          <w:b/>
          <w:sz w:val="28"/>
          <w:szCs w:val="28"/>
        </w:rPr>
        <w:t>Kosmas</w:t>
      </w:r>
      <w:r w:rsidRPr="009425BE">
        <w:rPr>
          <w:rFonts w:ascii="Times New Roman" w:hAnsi="Times New Roman" w:cs="Times New Roman"/>
          <w:sz w:val="28"/>
          <w:szCs w:val="28"/>
        </w:rPr>
        <w:t xml:space="preserve"> pro Přemyslovce, </w:t>
      </w:r>
      <w:r w:rsidRPr="00F64467">
        <w:rPr>
          <w:rFonts w:ascii="Times New Roman" w:hAnsi="Times New Roman" w:cs="Times New Roman"/>
          <w:b/>
          <w:sz w:val="28"/>
          <w:szCs w:val="28"/>
        </w:rPr>
        <w:t>Nestorův</w:t>
      </w:r>
      <w:r w:rsidRPr="009425BE">
        <w:rPr>
          <w:rFonts w:ascii="Times New Roman" w:hAnsi="Times New Roman" w:cs="Times New Roman"/>
          <w:sz w:val="28"/>
          <w:szCs w:val="28"/>
        </w:rPr>
        <w:t xml:space="preserve"> letopis zachoval cenné zprávy o počátcích křesťanství v Kyjevské Rusi a výčet by opět mohl dlouho pokračovat. </w:t>
      </w:r>
    </w:p>
    <w:p w:rsidR="006B5FF6" w:rsidRDefault="006B5FF6" w:rsidP="004720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5BE">
        <w:rPr>
          <w:rFonts w:ascii="Times New Roman" w:hAnsi="Times New Roman" w:cs="Times New Roman"/>
          <w:sz w:val="28"/>
          <w:szCs w:val="28"/>
        </w:rPr>
        <w:t xml:space="preserve">Výjimkou potvrzující pravidlo jsou historická díla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Komnenovců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, byzantské vládnoucí dynastie </w:t>
      </w:r>
      <w:proofErr w:type="gramStart"/>
      <w:r w:rsidRPr="009425BE">
        <w:rPr>
          <w:rFonts w:ascii="Times New Roman" w:hAnsi="Times New Roman" w:cs="Times New Roman"/>
          <w:sz w:val="28"/>
          <w:szCs w:val="28"/>
        </w:rPr>
        <w:t>11.–12</w:t>
      </w:r>
      <w:proofErr w:type="gramEnd"/>
      <w:r w:rsidRPr="009425BE">
        <w:rPr>
          <w:rFonts w:ascii="Times New Roman" w:hAnsi="Times New Roman" w:cs="Times New Roman"/>
          <w:sz w:val="28"/>
          <w:szCs w:val="28"/>
        </w:rPr>
        <w:t>. století. V době sepsání těchto kronik ale Evropa procházela hlubokou proměnou, jež zasahovala všechny oblasti života, od hospodářství po intelektuální život. Pro dějepisectví představoval jednu z  podstatných změn vznik universit, který přinesl laicizaci vzdělání, nové myšlenkové podněty a zrod „středověkého intelektuála“; v neposlední řadě pak též vznik dějepisných děl v národních jazycích.</w:t>
      </w:r>
      <w:r w:rsidR="00F64467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Spektrum historických prací se pronikavě rozšiřovalo, byť stále v  základních žánrech </w:t>
      </w:r>
      <w:r w:rsidRPr="00F64467">
        <w:rPr>
          <w:rFonts w:ascii="Times New Roman" w:hAnsi="Times New Roman" w:cs="Times New Roman"/>
          <w:b/>
          <w:sz w:val="28"/>
          <w:szCs w:val="28"/>
        </w:rPr>
        <w:t>kronika</w:t>
      </w:r>
      <w:r w:rsidRPr="009425BE">
        <w:rPr>
          <w:rFonts w:ascii="Times New Roman" w:hAnsi="Times New Roman" w:cs="Times New Roman"/>
          <w:sz w:val="28"/>
          <w:szCs w:val="28"/>
        </w:rPr>
        <w:t xml:space="preserve"> (resp. letopisy) a </w:t>
      </w:r>
      <w:r w:rsidRPr="00F64467">
        <w:rPr>
          <w:rFonts w:ascii="Times New Roman" w:hAnsi="Times New Roman" w:cs="Times New Roman"/>
          <w:b/>
          <w:sz w:val="28"/>
          <w:szCs w:val="28"/>
        </w:rPr>
        <w:t>vita</w:t>
      </w:r>
      <w:r w:rsidRPr="009425BE">
        <w:rPr>
          <w:rFonts w:ascii="Times New Roman" w:hAnsi="Times New Roman" w:cs="Times New Roman"/>
          <w:sz w:val="28"/>
          <w:szCs w:val="28"/>
        </w:rPr>
        <w:t xml:space="preserve">, kam vedle nemnohých </w:t>
      </w:r>
      <w:r w:rsidRPr="00F64467">
        <w:rPr>
          <w:rFonts w:ascii="Times New Roman" w:hAnsi="Times New Roman" w:cs="Times New Roman"/>
          <w:b/>
          <w:sz w:val="28"/>
          <w:szCs w:val="28"/>
        </w:rPr>
        <w:t>autobiografií</w:t>
      </w:r>
      <w:r w:rsidRPr="009425BE">
        <w:rPr>
          <w:rFonts w:ascii="Times New Roman" w:hAnsi="Times New Roman" w:cs="Times New Roman"/>
          <w:sz w:val="28"/>
          <w:szCs w:val="28"/>
        </w:rPr>
        <w:t xml:space="preserve">, z nichž si zaslouží zmínku díla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lastRenderedPageBreak/>
        <w:t>Guiberta</w:t>
      </w:r>
      <w:proofErr w:type="spellEnd"/>
      <w:r w:rsidRPr="00F64467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Nogent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a </w:t>
      </w:r>
      <w:r w:rsidRPr="00F64467">
        <w:rPr>
          <w:rFonts w:ascii="Times New Roman" w:hAnsi="Times New Roman" w:cs="Times New Roman"/>
          <w:b/>
          <w:sz w:val="28"/>
          <w:szCs w:val="28"/>
        </w:rPr>
        <w:t>Karla IV</w:t>
      </w:r>
      <w:r w:rsidRPr="009425BE">
        <w:rPr>
          <w:rFonts w:ascii="Times New Roman" w:hAnsi="Times New Roman" w:cs="Times New Roman"/>
          <w:sz w:val="28"/>
          <w:szCs w:val="28"/>
        </w:rPr>
        <w:t xml:space="preserve">., patřily především </w:t>
      </w:r>
      <w:r w:rsidRPr="00F64467">
        <w:rPr>
          <w:rFonts w:ascii="Times New Roman" w:hAnsi="Times New Roman" w:cs="Times New Roman"/>
          <w:b/>
          <w:sz w:val="28"/>
          <w:szCs w:val="28"/>
        </w:rPr>
        <w:t>legendy</w:t>
      </w:r>
      <w:r w:rsidRPr="009425BE">
        <w:rPr>
          <w:rFonts w:ascii="Times New Roman" w:hAnsi="Times New Roman" w:cs="Times New Roman"/>
          <w:sz w:val="28"/>
          <w:szCs w:val="28"/>
        </w:rPr>
        <w:t xml:space="preserve">, jež se od prvotní funkce oslavy světce a víry posouvaly v pozdním středověku k literárnímu pólu. „Své“ dějiny chtěly znát i nové společenské skupiny, jakými byli měšťané, rodové kroniky byly sepisovány pro šlechtické rody, na francouzském a anglickém královském dvoře se od druhé poloviny 13. století rozvíjí dvorské kronikářství, které se neúspěšně pokoušel přesadit do českého království Karel IV., vedle autorů v duchovním stavu se etablovala početná skupina „námezdných“ literátů, kteří byli zaměstnáni u panovnických a šlechtických rodů a vytvářeli díla v  intencích zadání, tj. oslavná a legitimizační. </w:t>
      </w:r>
      <w:r w:rsidRPr="00F64467">
        <w:rPr>
          <w:rFonts w:ascii="Times New Roman" w:hAnsi="Times New Roman" w:cs="Times New Roman"/>
          <w:b/>
          <w:sz w:val="28"/>
          <w:szCs w:val="28"/>
        </w:rPr>
        <w:t xml:space="preserve">Jean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Froissart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(ca 1337–1410) tak měl možnost pohlédnout na děje stoleté války jak z  francouzské, tak anglické strany, spojnicí různých verzí jeho rozsáhlých kronik je hierarchizace světa jako jeviště rytířských ctností. I díky těmto autorům se v pozdním středověku objevuje „fantastická“ minulost, kdy se ve vyprávěních o počátcích předních rodů ztrácejí reálné prvky ve fantaskním nánosu bájných bytostí a smyšlených činů. Přes ohromnou dějepiseckou produkci ale myšlení o dějinách nepřekročilo úroveň nastavenou církevními otci v  prvých staletích středověku, nijak je nezasáhla ani recepce aristotelismu na křesťanském západě od počátku 13. století. Na místo smělých intelektuálních náběhů přišla velká sumarizující a klasifikující díla, jejichž nejlepším příkladem je </w:t>
      </w:r>
      <w:r w:rsidRPr="00F64467">
        <w:rPr>
          <w:rFonts w:ascii="Times New Roman" w:hAnsi="Times New Roman" w:cs="Times New Roman"/>
          <w:i/>
          <w:sz w:val="28"/>
          <w:szCs w:val="28"/>
        </w:rPr>
        <w:t>Suma teologická</w:t>
      </w:r>
      <w:r w:rsidR="00F64467">
        <w:rPr>
          <w:rFonts w:ascii="Times New Roman" w:hAnsi="Times New Roman" w:cs="Times New Roman"/>
          <w:sz w:val="28"/>
          <w:szCs w:val="28"/>
        </w:rPr>
        <w:t xml:space="preserve"> </w:t>
      </w:r>
      <w:r w:rsidRPr="00F64467">
        <w:rPr>
          <w:rFonts w:ascii="Times New Roman" w:hAnsi="Times New Roman" w:cs="Times New Roman"/>
          <w:b/>
          <w:sz w:val="28"/>
          <w:szCs w:val="28"/>
        </w:rPr>
        <w:t>Tomáše Akvinského</w:t>
      </w:r>
      <w:r w:rsidRPr="009425BE">
        <w:rPr>
          <w:rFonts w:ascii="Times New Roman" w:hAnsi="Times New Roman" w:cs="Times New Roman"/>
          <w:sz w:val="28"/>
          <w:szCs w:val="28"/>
        </w:rPr>
        <w:t>, která do detailů propracovávala systém scholastického vědění a argumentace.</w:t>
      </w:r>
      <w:r w:rsidR="00F64467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Alespoň stručnou zmínku je třeba závěrem této části věnovat také dějepisectví nekřesťanskému. Díla </w:t>
      </w:r>
      <w:r w:rsidRPr="00F64467">
        <w:rPr>
          <w:rFonts w:ascii="Times New Roman" w:hAnsi="Times New Roman" w:cs="Times New Roman"/>
          <w:b/>
          <w:sz w:val="28"/>
          <w:szCs w:val="28"/>
        </w:rPr>
        <w:t>Josefa Flavia</w:t>
      </w:r>
      <w:r w:rsidRPr="009425BE">
        <w:rPr>
          <w:rFonts w:ascii="Times New Roman" w:hAnsi="Times New Roman" w:cs="Times New Roman"/>
          <w:sz w:val="28"/>
          <w:szCs w:val="28"/>
        </w:rPr>
        <w:t xml:space="preserve"> či přesněji </w:t>
      </w:r>
      <w:r w:rsidRPr="00F64467">
        <w:rPr>
          <w:rFonts w:ascii="Times New Roman" w:hAnsi="Times New Roman" w:cs="Times New Roman"/>
          <w:b/>
          <w:sz w:val="28"/>
          <w:szCs w:val="28"/>
        </w:rPr>
        <w:t xml:space="preserve">Josefa ben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Matitjahu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(37/38–100) </w:t>
      </w:r>
      <w:r w:rsidRPr="00F64467">
        <w:rPr>
          <w:rFonts w:ascii="Times New Roman" w:hAnsi="Times New Roman" w:cs="Times New Roman"/>
          <w:i/>
          <w:sz w:val="28"/>
          <w:szCs w:val="28"/>
        </w:rPr>
        <w:t>Židovská válka</w:t>
      </w:r>
      <w:r w:rsidRPr="009425BE">
        <w:rPr>
          <w:rFonts w:ascii="Times New Roman" w:hAnsi="Times New Roman" w:cs="Times New Roman"/>
          <w:sz w:val="28"/>
          <w:szCs w:val="28"/>
        </w:rPr>
        <w:t xml:space="preserve"> a </w:t>
      </w:r>
      <w:r w:rsidRPr="00F64467">
        <w:rPr>
          <w:rFonts w:ascii="Times New Roman" w:hAnsi="Times New Roman" w:cs="Times New Roman"/>
          <w:i/>
          <w:sz w:val="28"/>
          <w:szCs w:val="28"/>
        </w:rPr>
        <w:t>Židovské starožitnosti</w:t>
      </w:r>
      <w:r w:rsidRPr="009425BE">
        <w:rPr>
          <w:rFonts w:ascii="Times New Roman" w:hAnsi="Times New Roman" w:cs="Times New Roman"/>
          <w:sz w:val="28"/>
          <w:szCs w:val="28"/>
        </w:rPr>
        <w:t xml:space="preserve">, jež byla nedlouho po svém vzniku přeložena do latiny, se stala pro západní křesťany na dlouhá staletí hlavním zdrojem informací o židovské kultuře a dějinách. </w:t>
      </w:r>
      <w:r w:rsidRPr="00F64467">
        <w:rPr>
          <w:rFonts w:ascii="Times New Roman" w:hAnsi="Times New Roman" w:cs="Times New Roman"/>
          <w:i/>
          <w:sz w:val="28"/>
          <w:szCs w:val="28"/>
        </w:rPr>
        <w:t>„Není pilným ten, kdo předělává cizí spis co do uspořádání a rozdělení, nýbrž ten, kdo spolu s tím, že vykládá věci nové, pořídí i vlastní celek vyprávění“,</w:t>
      </w:r>
      <w:r w:rsidRPr="009425BE">
        <w:rPr>
          <w:rFonts w:ascii="Times New Roman" w:hAnsi="Times New Roman" w:cs="Times New Roman"/>
          <w:sz w:val="28"/>
          <w:szCs w:val="28"/>
        </w:rPr>
        <w:t xml:space="preserve"> říká autor, kterého vlastní lidé zavrhli kvůli údajné zradě a Římané nikdy zcela nepřijali. Potlačení židovských </w:t>
      </w:r>
      <w:proofErr w:type="gramStart"/>
      <w:r w:rsidRPr="009425BE">
        <w:rPr>
          <w:rFonts w:ascii="Times New Roman" w:hAnsi="Times New Roman" w:cs="Times New Roman"/>
          <w:sz w:val="28"/>
          <w:szCs w:val="28"/>
        </w:rPr>
        <w:t>povstání v 1.–2. století</w:t>
      </w:r>
      <w:proofErr w:type="gramEnd"/>
      <w:r w:rsidRPr="009425BE">
        <w:rPr>
          <w:rFonts w:ascii="Times New Roman" w:hAnsi="Times New Roman" w:cs="Times New Roman"/>
          <w:sz w:val="28"/>
          <w:szCs w:val="28"/>
        </w:rPr>
        <w:t xml:space="preserve"> a rozptýlení Židů do řady diaspor nepřálo zrodu velkých židovských </w:t>
      </w:r>
      <w:r w:rsidRPr="009425BE">
        <w:rPr>
          <w:rFonts w:ascii="Times New Roman" w:hAnsi="Times New Roman" w:cs="Times New Roman"/>
          <w:sz w:val="28"/>
          <w:szCs w:val="28"/>
        </w:rPr>
        <w:lastRenderedPageBreak/>
        <w:t>kronik, jež by mohly soupeřit s Flaviovým dílem. Postupně jsou objevovány menší dějepisné a cestopisné texty, jejich plnoprávnému začlenění do dějin dějepisectví však brání jazykové bariéry. Ty stojí rovněž u potíží se začleněním muslimského dějepisectví do obrazu středověku. Po počáteční „překladatelské“ etapě a stabilizaci hlavních muslimských říší začaly již od 9. století vznikat první kroniky, jež se zaměřovaly nejen na počátky islámu a následovníky proroka, ale též na širší dějinný kontext (pro Evropany jsou nejznámější kroniky vzniklé v dobách křížových výprav). Mimo obzor středověkých autorů zůstávaly vyspělé literatury středověké Číny a Japonska, jež se až do konce novověku vyvíjely v jisté izolaci od okolního světa.</w:t>
      </w:r>
    </w:p>
    <w:p w:rsidR="00F64467" w:rsidRDefault="00F64467" w:rsidP="009425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5FF6" w:rsidRDefault="006B5FF6" w:rsidP="006B5FF6">
      <w:bookmarkStart w:id="0" w:name="_GoBack"/>
      <w:bookmarkEnd w:id="0"/>
    </w:p>
    <w:p w:rsidR="006B5FF6" w:rsidRPr="00BC0910" w:rsidRDefault="006B5FF6" w:rsidP="006B5FF6">
      <w:pPr>
        <w:rPr>
          <w:b/>
        </w:rPr>
      </w:pPr>
      <w:r w:rsidRPr="00BC0910">
        <w:rPr>
          <w:b/>
        </w:rPr>
        <w:t>K dalšímu čtení:</w:t>
      </w:r>
    </w:p>
    <w:p w:rsidR="006B5FF6" w:rsidRDefault="006B5FF6" w:rsidP="006B5FF6">
      <w:r>
        <w:t xml:space="preserve">Bláhová, Marie: Staročeská kronika tak řečeného Dalimila (3) v kontextu středověké </w:t>
      </w:r>
    </w:p>
    <w:p w:rsidR="006B5FF6" w:rsidRDefault="006B5FF6" w:rsidP="006B5FF6">
      <w:r>
        <w:t>historiografie latinského kulturního okruhu a její pramenná hodnota. Praha 1995.</w:t>
      </w:r>
    </w:p>
    <w:p w:rsidR="006B5FF6" w:rsidRDefault="006B5FF6" w:rsidP="006B5FF6">
      <w:proofErr w:type="spellStart"/>
      <w:r>
        <w:t>Curtius</w:t>
      </w:r>
      <w:proofErr w:type="spellEnd"/>
      <w:r>
        <w:t>, Ernst Robert: Evropská literatura a latinský středověk. Praha 1998.</w:t>
      </w:r>
    </w:p>
    <w:p w:rsidR="006B5FF6" w:rsidRDefault="006B5FF6" w:rsidP="006B5FF6">
      <w:r>
        <w:t>Dostálová, Růžena: Byzantská vzdělanost. Praha 1990.</w:t>
      </w:r>
    </w:p>
    <w:p w:rsidR="006B5FF6" w:rsidRDefault="006B5FF6" w:rsidP="006B5FF6">
      <w:r>
        <w:t xml:space="preserve">Kratochvíl, Zdeněk: Filosofie mezi mýtem a vědou. Od Homéra po Descarta. Praha </w:t>
      </w:r>
    </w:p>
    <w:p w:rsidR="006B5FF6" w:rsidRDefault="006B5FF6" w:rsidP="006B5FF6">
      <w:r>
        <w:t>2009.</w:t>
      </w:r>
    </w:p>
    <w:p w:rsidR="006B5FF6" w:rsidRDefault="006B5FF6" w:rsidP="006B5FF6">
      <w:r>
        <w:t>De Libera, Alain: Středověká filosofie. Praha 2001.</w:t>
      </w:r>
    </w:p>
    <w:p w:rsidR="006B5FF6" w:rsidRDefault="006B5FF6" w:rsidP="006B5FF6">
      <w:r>
        <w:t xml:space="preserve">Třeštík, Dušan: Kosmova kronika. Studie k počátkům českého dějepisectví a politického </w:t>
      </w:r>
    </w:p>
    <w:p w:rsidR="006B5FF6" w:rsidRDefault="006B5FF6" w:rsidP="006B5FF6">
      <w:r>
        <w:t>myšlení. Praha 1968.</w:t>
      </w:r>
    </w:p>
    <w:sectPr w:rsidR="006B5F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FF6"/>
    <w:rsid w:val="004720B5"/>
    <w:rsid w:val="006B5FF6"/>
    <w:rsid w:val="008D76FC"/>
    <w:rsid w:val="009425BE"/>
    <w:rsid w:val="00BC0910"/>
    <w:rsid w:val="00BC2856"/>
    <w:rsid w:val="00DE4277"/>
    <w:rsid w:val="00F6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FA4F2"/>
  <w15:chartTrackingRefBased/>
  <w15:docId w15:val="{6CE3ECDC-B290-4D0A-95D2-369CFB4F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B5F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B5FF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1460</Words>
  <Characters>8615</Characters>
  <Application>Microsoft Office Word</Application>
  <DocSecurity>0</DocSecurity>
  <Lines>71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6</cp:revision>
  <dcterms:created xsi:type="dcterms:W3CDTF">2020-04-22T15:17:00Z</dcterms:created>
  <dcterms:modified xsi:type="dcterms:W3CDTF">2020-05-26T07:24:00Z</dcterms:modified>
</cp:coreProperties>
</file>