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E0F" w:rsidRPr="00B22437" w:rsidRDefault="007F4E0F" w:rsidP="007F4E0F">
      <w:pPr>
        <w:pStyle w:val="Nadpis1"/>
        <w:rPr>
          <w:rFonts w:ascii="Times New Roman" w:hAnsi="Times New Roman" w:cs="Times New Roman"/>
          <w:sz w:val="28"/>
          <w:szCs w:val="28"/>
        </w:rPr>
      </w:pPr>
      <w:r w:rsidRPr="00B22437">
        <w:rPr>
          <w:rFonts w:ascii="Times New Roman" w:hAnsi="Times New Roman" w:cs="Times New Roman"/>
          <w:sz w:val="28"/>
          <w:szCs w:val="28"/>
        </w:rPr>
        <w:t>Romantické a liberální dějepisectví</w:t>
      </w:r>
    </w:p>
    <w:p w:rsidR="007F4E0F" w:rsidRPr="00B22437" w:rsidRDefault="007F4E0F" w:rsidP="007F4E0F">
      <w:pPr>
        <w:rPr>
          <w:rFonts w:ascii="Times New Roman" w:hAnsi="Times New Roman" w:cs="Times New Roman"/>
          <w:sz w:val="28"/>
          <w:szCs w:val="28"/>
        </w:rPr>
      </w:pPr>
    </w:p>
    <w:p w:rsidR="002A3E79" w:rsidRPr="00B22437" w:rsidRDefault="007F4E0F" w:rsidP="00B22437">
      <w:pPr>
        <w:jc w:val="both"/>
        <w:rPr>
          <w:rFonts w:ascii="Times New Roman" w:hAnsi="Times New Roman" w:cs="Times New Roman"/>
          <w:sz w:val="28"/>
          <w:szCs w:val="28"/>
        </w:rPr>
      </w:pPr>
      <w:r w:rsidRPr="00B22437">
        <w:rPr>
          <w:rFonts w:ascii="Times New Roman" w:hAnsi="Times New Roman" w:cs="Times New Roman"/>
          <w:sz w:val="28"/>
          <w:szCs w:val="28"/>
        </w:rPr>
        <w:t>Na prahu 19. století byl historik stále ješt</w:t>
      </w:r>
      <w:r w:rsidR="00B22437">
        <w:rPr>
          <w:rFonts w:ascii="Times New Roman" w:hAnsi="Times New Roman" w:cs="Times New Roman"/>
          <w:sz w:val="28"/>
          <w:szCs w:val="28"/>
        </w:rPr>
        <w:t xml:space="preserve">ě součástí obecnějšího komplexu </w:t>
      </w:r>
      <w:r w:rsidRPr="00B22437">
        <w:rPr>
          <w:rFonts w:ascii="Times New Roman" w:hAnsi="Times New Roman" w:cs="Times New Roman"/>
          <w:sz w:val="28"/>
          <w:szCs w:val="28"/>
        </w:rPr>
        <w:t xml:space="preserve">vědění, polyhistoři pohybující se suverénně na poli několika vědních oborů nepředstavovali výjimku. Proces specializace a oborového uzavírání však již byl v  pohybu. Důležitou roli v něm sehrály reformy školního vzdělávání a universit během druhé poloviny 18. a první poloviny 19. století, které v případě universit můžeme jednoduše shrnout jako sekularizaci a etatizaci universitního vzdělání. Jejich brány měli opouštět vzdělaní a ke svému státu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loyální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odborníci. Pro výuku dějepisu na nižších stupních škol bylo třeba učitelů, kteří by si osvojili obraz dějin „správný“ netoliko po odborné stránce, ale též z  hlediska zájmů státu. Ten si skrze obsazování universitních stolic udržoval vliv na výklad a pojetí minulosti. Historie se tak stávala samostatným oborem a již před polovinou 19. století začala pronikat specializace i do ní, zpočátku ve formě samostatných stolic pro středověké dějiny, k nimž se záhy přidávaly další. Upřednostňování výkladu národních (státních) dějin bylo samozřejmostí. Teleologické pojetí dějin přetrvávalo, na místo spásy jako konečného cíle ale nyní vstupoval (národní</w:t>
      </w:r>
      <w:r w:rsidR="00B22437">
        <w:rPr>
          <w:rFonts w:ascii="Times New Roman" w:hAnsi="Times New Roman" w:cs="Times New Roman"/>
          <w:sz w:val="28"/>
          <w:szCs w:val="28"/>
        </w:rPr>
        <w:t>) stát. Filoz</w:t>
      </w:r>
      <w:r w:rsidRPr="00B22437">
        <w:rPr>
          <w:rFonts w:ascii="Times New Roman" w:hAnsi="Times New Roman" w:cs="Times New Roman"/>
          <w:sz w:val="28"/>
          <w:szCs w:val="28"/>
        </w:rPr>
        <w:t xml:space="preserve">ofický základ položil etatistickým konceptům dějin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Georg Wilhelm Friedrich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Heg</w:t>
      </w:r>
      <w:r w:rsidRPr="00B22437">
        <w:rPr>
          <w:rFonts w:ascii="Times New Roman" w:hAnsi="Times New Roman" w:cs="Times New Roman"/>
          <w:sz w:val="28"/>
          <w:szCs w:val="28"/>
        </w:rPr>
        <w:t>el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ve svých pracích o filosofii dějin a v triádě, kterou se naplňuje světový duch v pohybu od subjektivního přes objektivní až k absolutnímu. Nacionální motivy stojí mj. u zrodu četných spolků, jež vznikají doslova geometrickou řadou a nahrazují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societas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eruditorum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předchozích období. Jakkoli bývalo těžiště jejich činnosti rozličné, historie stála většinou v popředí a některé z  nich se v  budoucnu staly významnými centry historické práce, jako např.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Gesellschaft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für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ältere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deutsche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Geschichtskunde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, již založil v roce 1819 svobodný pán </w:t>
      </w:r>
      <w:r w:rsidRPr="00B22437">
        <w:rPr>
          <w:rFonts w:ascii="Times New Roman" w:hAnsi="Times New Roman" w:cs="Times New Roman"/>
          <w:b/>
          <w:sz w:val="28"/>
          <w:szCs w:val="28"/>
        </w:rPr>
        <w:t>Karl von Stein</w:t>
      </w:r>
      <w:r w:rsidRPr="00B22437">
        <w:rPr>
          <w:rFonts w:ascii="Times New Roman" w:hAnsi="Times New Roman" w:cs="Times New Roman"/>
          <w:sz w:val="28"/>
          <w:szCs w:val="28"/>
        </w:rPr>
        <w:t xml:space="preserve"> a z níž se po nástupu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Georga Heinricha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Pertze</w:t>
      </w:r>
      <w:proofErr w:type="spellEnd"/>
      <w:r w:rsidRPr="00B224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v  roce 1823 stala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Monumenta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Germaniae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Historica</w:t>
      </w:r>
      <w:r w:rsidRPr="00B22437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promyšleným systémem ediční práce.</w:t>
      </w:r>
      <w:r w:rsidR="00B22437">
        <w:rPr>
          <w:rFonts w:ascii="Times New Roman" w:hAnsi="Times New Roman" w:cs="Times New Roman"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>Romantická reakce na osvícenství obrátila pozornost k dávným dějinám a zdánlivě čistým ideálům, jež se v  hluboké minulosti měly skrývat; stejně tak se prošlá staletí a jejich pozůstatky v  podobě hradních zřícenin zdály skrývat tajemství, pro něž v  racionalizovaném světě nebylo místo. Máchovská putování či anglický gotický román jsou tak jednou z  forem návratu do minulosti, pro nás jsou zde důležitější romantické syntézy národních dějin, ač i ony spadají do obecnějšího procesu vytváření (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staro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)nového fenoménu – historismu. V  minulosti jsou hledány příčiny a vysvětlení přítomnosti, což v období romantismu vede k návratům do středověku. Ten je brán jako vlastní počátek národních dějin, zde se pátrá po kořenech národního společenství a státu. Ochotné naplňování potřeb moderních národů, jež se v této době utvářejí, vedlo k  upřednostňování příběhu národa, jehož koncepce byla silně ovlivněna soudobými filosofickými </w:t>
      </w:r>
      <w:r w:rsidRPr="00B22437">
        <w:rPr>
          <w:rFonts w:ascii="Times New Roman" w:hAnsi="Times New Roman" w:cs="Times New Roman"/>
          <w:sz w:val="28"/>
          <w:szCs w:val="28"/>
        </w:rPr>
        <w:lastRenderedPageBreak/>
        <w:t xml:space="preserve">teoriemi (např.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J. G. </w:t>
      </w:r>
      <w:proofErr w:type="gramStart"/>
      <w:r w:rsidRPr="00B22437">
        <w:rPr>
          <w:rFonts w:ascii="Times New Roman" w:hAnsi="Times New Roman" w:cs="Times New Roman"/>
          <w:b/>
          <w:sz w:val="28"/>
          <w:szCs w:val="28"/>
        </w:rPr>
        <w:t>von</w:t>
      </w:r>
      <w:proofErr w:type="gramEnd"/>
      <w:r w:rsidRPr="00B22437">
        <w:rPr>
          <w:rFonts w:ascii="Times New Roman" w:hAnsi="Times New Roman" w:cs="Times New Roman"/>
          <w:b/>
          <w:sz w:val="28"/>
          <w:szCs w:val="28"/>
        </w:rPr>
        <w:t xml:space="preserve"> Herdera, B.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Bolzana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ad.), před kritikou pramenů.</w:t>
      </w:r>
      <w:r w:rsidR="00B22437">
        <w:rPr>
          <w:rFonts w:ascii="Times New Roman" w:hAnsi="Times New Roman" w:cs="Times New Roman"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Tyto hranice nepřekročil ve svých </w:t>
      </w:r>
      <w:r w:rsidRPr="00B22437">
        <w:rPr>
          <w:rFonts w:ascii="Times New Roman" w:hAnsi="Times New Roman" w:cs="Times New Roman"/>
          <w:i/>
          <w:sz w:val="28"/>
          <w:szCs w:val="28"/>
        </w:rPr>
        <w:t>Dějinách národu českého v Čechách a na Moravě</w:t>
      </w:r>
      <w:r w:rsid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ani otec českého dějepisectví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František Palacký </w:t>
      </w:r>
      <w:r w:rsidRPr="00B22437">
        <w:rPr>
          <w:rFonts w:ascii="Times New Roman" w:hAnsi="Times New Roman" w:cs="Times New Roman"/>
          <w:sz w:val="28"/>
          <w:szCs w:val="28"/>
        </w:rPr>
        <w:t xml:space="preserve">(1798–1876), snad i neochvějně důvěřující falzům </w:t>
      </w:r>
      <w:r w:rsidRPr="00B22437">
        <w:rPr>
          <w:rFonts w:ascii="Times New Roman" w:hAnsi="Times New Roman" w:cs="Times New Roman"/>
          <w:i/>
          <w:sz w:val="28"/>
          <w:szCs w:val="28"/>
        </w:rPr>
        <w:t>rukopisů Královédvorského a Zelenohorského</w:t>
      </w:r>
      <w:r w:rsidRPr="00B22437">
        <w:rPr>
          <w:rFonts w:ascii="Times New Roman" w:hAnsi="Times New Roman" w:cs="Times New Roman"/>
          <w:sz w:val="28"/>
          <w:szCs w:val="28"/>
        </w:rPr>
        <w:t xml:space="preserve">, jež tak pěkně potvrzovaly jeho přesvědčení o demokratickém charakteru dávných slovanských společností oproti výbojným a hierarchicky uspořádaným germánským. Výklad českých dějin jako „stýkání a potýkání“ dvou kulturních okruhů, jejichž kultura ale byla definována jazykově a nacionálně, zakotvil ve zjednodušené podobě na dlouhou dobu v českém historickém myšlení a zastínil neméně podstatné stránky Palackého olbřímího dějepisného díla. Palacký byl nemálo inspirován francouzskými liberálními historiky, mezi nimiž stojí na předním místě jeho současník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Jules</w:t>
      </w:r>
      <w:proofErr w:type="spellEnd"/>
      <w:r w:rsidRPr="00B224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Michelet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(1798–1874), autor několika desítek historických děl včetně rozsáhlých </w:t>
      </w:r>
      <w:r w:rsidRPr="00B22437">
        <w:rPr>
          <w:rFonts w:ascii="Times New Roman" w:hAnsi="Times New Roman" w:cs="Times New Roman"/>
          <w:i/>
          <w:sz w:val="28"/>
          <w:szCs w:val="28"/>
        </w:rPr>
        <w:t>Dějin Francie</w:t>
      </w:r>
      <w:r w:rsidR="00B22437">
        <w:rPr>
          <w:rFonts w:ascii="Times New Roman" w:hAnsi="Times New Roman" w:cs="Times New Roman"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a </w:t>
      </w:r>
      <w:r w:rsidRPr="00B22437">
        <w:rPr>
          <w:rFonts w:ascii="Times New Roman" w:hAnsi="Times New Roman" w:cs="Times New Roman"/>
          <w:i/>
          <w:sz w:val="28"/>
          <w:szCs w:val="28"/>
        </w:rPr>
        <w:t>Dějin francouzské revoluce</w:t>
      </w:r>
      <w:r w:rsidRPr="00B22437">
        <w:rPr>
          <w:rFonts w:ascii="Times New Roman" w:hAnsi="Times New Roman" w:cs="Times New Roman"/>
          <w:sz w:val="28"/>
          <w:szCs w:val="28"/>
        </w:rPr>
        <w:t xml:space="preserve">, který má díky literárním kvalitám svého psaní pevné místo i na Parnasu francouzských spisovatelů.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Micheletův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vypravěčský talent je nesporný, jeho způsob podání minulých dob, plný strhujících a obratně gradovaných epizod, rétorických figur a přímých promluv aktérů, ale nepředstavoval v romantickém historiografickém diskursu nic výjimečného. Podobně si počínali též další historici této doby, ať se jednalo o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Thomase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Carlyla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či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Thomase B.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Macaulaye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 Anglii nebo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Nikolaje M.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Karamzina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 Rusku. Jistou výjimku zde představují brilantní analytický duch a autor </w:t>
      </w:r>
      <w:r w:rsidRPr="00B22437">
        <w:rPr>
          <w:rFonts w:ascii="Times New Roman" w:hAnsi="Times New Roman" w:cs="Times New Roman"/>
          <w:i/>
          <w:sz w:val="28"/>
          <w:szCs w:val="28"/>
        </w:rPr>
        <w:t>Starého režimu a revoluce</w:t>
      </w:r>
      <w:r w:rsidR="00B22437">
        <w:rPr>
          <w:rFonts w:ascii="Times New Roman" w:hAnsi="Times New Roman" w:cs="Times New Roman"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sz w:val="28"/>
          <w:szCs w:val="28"/>
        </w:rPr>
        <w:t xml:space="preserve">a </w:t>
      </w:r>
      <w:r w:rsidRPr="00B22437">
        <w:rPr>
          <w:rFonts w:ascii="Times New Roman" w:hAnsi="Times New Roman" w:cs="Times New Roman"/>
          <w:i/>
          <w:sz w:val="28"/>
          <w:szCs w:val="28"/>
        </w:rPr>
        <w:t>Demokracie v</w:t>
      </w:r>
      <w:r w:rsidR="00B22437" w:rsidRPr="00B22437">
        <w:rPr>
          <w:rFonts w:ascii="Times New Roman" w:hAnsi="Times New Roman" w:cs="Times New Roman"/>
          <w:i/>
          <w:sz w:val="28"/>
          <w:szCs w:val="28"/>
        </w:rPr>
        <w:t> </w:t>
      </w:r>
      <w:r w:rsidRPr="00B22437">
        <w:rPr>
          <w:rFonts w:ascii="Times New Roman" w:hAnsi="Times New Roman" w:cs="Times New Roman"/>
          <w:i/>
          <w:sz w:val="28"/>
          <w:szCs w:val="28"/>
        </w:rPr>
        <w:t>Americe</w:t>
      </w:r>
      <w:r w:rsidR="00B22437"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Alexis de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Tocqueville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(1805–1859) a </w:t>
      </w:r>
      <w:r w:rsidRPr="00B22437">
        <w:rPr>
          <w:rFonts w:ascii="Times New Roman" w:hAnsi="Times New Roman" w:cs="Times New Roman"/>
          <w:b/>
          <w:sz w:val="28"/>
          <w:szCs w:val="28"/>
        </w:rPr>
        <w:t xml:space="preserve">Leopold von </w:t>
      </w:r>
      <w:proofErr w:type="spellStart"/>
      <w:r w:rsidRPr="00B22437">
        <w:rPr>
          <w:rFonts w:ascii="Times New Roman" w:hAnsi="Times New Roman" w:cs="Times New Roman"/>
          <w:b/>
          <w:sz w:val="28"/>
          <w:szCs w:val="28"/>
        </w:rPr>
        <w:t>Ranke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(1795–1886), z jehož prací je třeba uvést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Geschichte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der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romanischen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und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germanischen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22437">
        <w:rPr>
          <w:rFonts w:ascii="Times New Roman" w:hAnsi="Times New Roman" w:cs="Times New Roman"/>
          <w:i/>
          <w:sz w:val="28"/>
          <w:szCs w:val="28"/>
        </w:rPr>
        <w:t>Völker</w:t>
      </w:r>
      <w:proofErr w:type="spellEnd"/>
      <w:r w:rsidRPr="00B22437">
        <w:rPr>
          <w:rFonts w:ascii="Times New Roman" w:hAnsi="Times New Roman" w:cs="Times New Roman"/>
          <w:i/>
          <w:sz w:val="28"/>
          <w:szCs w:val="28"/>
        </w:rPr>
        <w:t xml:space="preserve"> von 1494 bis 1514</w:t>
      </w:r>
      <w:r w:rsidRPr="00B22437">
        <w:rPr>
          <w:rFonts w:ascii="Times New Roman" w:hAnsi="Times New Roman" w:cs="Times New Roman"/>
          <w:sz w:val="28"/>
          <w:szCs w:val="28"/>
        </w:rPr>
        <w:t xml:space="preserve"> s důležitým exkursem ke kritice pramenů, vedle nich ale měly velkou působnost také knihy, které luterán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Ranke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věnoval dějinám papežství a období reformace. Pokud Palacký,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Michelet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a jiní romantičtí historici položili svým dílem působivý základ budoucím výkladům národních dějin, </w:t>
      </w:r>
      <w:proofErr w:type="spellStart"/>
      <w:r w:rsidRPr="00B22437">
        <w:rPr>
          <w:rFonts w:ascii="Times New Roman" w:hAnsi="Times New Roman" w:cs="Times New Roman"/>
          <w:sz w:val="28"/>
          <w:szCs w:val="28"/>
        </w:rPr>
        <w:t>Ranke</w:t>
      </w:r>
      <w:proofErr w:type="spellEnd"/>
      <w:r w:rsidRPr="00B22437">
        <w:rPr>
          <w:rFonts w:ascii="Times New Roman" w:hAnsi="Times New Roman" w:cs="Times New Roman"/>
          <w:sz w:val="28"/>
          <w:szCs w:val="28"/>
        </w:rPr>
        <w:t xml:space="preserve"> položil základy přímo historické škole, která hrála významnou roli v německém dějepisectví druhé poloviny 19. století a zosobňovala hodnoty přicházejícího pozitivismu.</w:t>
      </w:r>
    </w:p>
    <w:p w:rsidR="00170CD7" w:rsidRDefault="00170CD7" w:rsidP="007F4E0F">
      <w:pPr>
        <w:rPr>
          <w:b/>
        </w:rPr>
      </w:pPr>
      <w:bookmarkStart w:id="0" w:name="_GoBack"/>
      <w:bookmarkEnd w:id="0"/>
    </w:p>
    <w:p w:rsidR="007F4E0F" w:rsidRPr="007F4E0F" w:rsidRDefault="007F4E0F" w:rsidP="007F4E0F">
      <w:pPr>
        <w:rPr>
          <w:b/>
        </w:rPr>
      </w:pPr>
      <w:r w:rsidRPr="007F4E0F">
        <w:rPr>
          <w:b/>
        </w:rPr>
        <w:t>K dalšímu čtení:</w:t>
      </w:r>
    </w:p>
    <w:p w:rsidR="007F4E0F" w:rsidRDefault="007F4E0F" w:rsidP="007F4E0F">
      <w:proofErr w:type="spellStart"/>
      <w:r>
        <w:t>Činátl</w:t>
      </w:r>
      <w:proofErr w:type="spellEnd"/>
      <w:r>
        <w:t xml:space="preserve">, Kamil: Dějiny a vyprávění. Palackého Dějiny jako zdroj historické obraznosti </w:t>
      </w:r>
    </w:p>
    <w:p w:rsidR="007F4E0F" w:rsidRDefault="007F4E0F" w:rsidP="007F4E0F">
      <w:r>
        <w:t>národa. Praha 2011.</w:t>
      </w:r>
    </w:p>
    <w:p w:rsidR="007F4E0F" w:rsidRDefault="007F4E0F" w:rsidP="007F4E0F">
      <w:proofErr w:type="spellStart"/>
      <w:r>
        <w:t>Charle</w:t>
      </w:r>
      <w:proofErr w:type="spellEnd"/>
      <w:r>
        <w:t xml:space="preserve">, </w:t>
      </w:r>
      <w:proofErr w:type="spellStart"/>
      <w:r>
        <w:t>Christoph</w:t>
      </w:r>
      <w:proofErr w:type="spellEnd"/>
      <w:r>
        <w:t>: Intelektuálové v Evropě 19. století. Brno 2004.</w:t>
      </w:r>
    </w:p>
    <w:p w:rsidR="007F4E0F" w:rsidRDefault="007F4E0F" w:rsidP="007F4E0F">
      <w:proofErr w:type="spellStart"/>
      <w:r>
        <w:t>Kazbunda</w:t>
      </w:r>
      <w:proofErr w:type="spellEnd"/>
      <w:r>
        <w:t>, Karel: Stolice dějin na pražské universitě. I–III. Praha 1964–1968.</w:t>
      </w:r>
    </w:p>
    <w:p w:rsidR="007F4E0F" w:rsidRDefault="007F4E0F" w:rsidP="007F4E0F">
      <w:r>
        <w:t xml:space="preserve">Major, Ladislav – Sobotka, Milan: G. W. F. </w:t>
      </w:r>
      <w:proofErr w:type="spellStart"/>
      <w:r>
        <w:t>Hegel</w:t>
      </w:r>
      <w:proofErr w:type="spellEnd"/>
      <w:r>
        <w:t>. Život a dílo. Praha 1979.</w:t>
      </w:r>
    </w:p>
    <w:p w:rsidR="007F4E0F" w:rsidRDefault="007F4E0F" w:rsidP="007F4E0F">
      <w:proofErr w:type="spellStart"/>
      <w:r>
        <w:t>Štaif</w:t>
      </w:r>
      <w:proofErr w:type="spellEnd"/>
      <w:r>
        <w:t xml:space="preserve">, Jiří: František Palacký. Život, dílo, </w:t>
      </w:r>
      <w:proofErr w:type="spellStart"/>
      <w:proofErr w:type="gramStart"/>
      <w:r>
        <w:t>mýtus.Praha</w:t>
      </w:r>
      <w:proofErr w:type="spellEnd"/>
      <w:proofErr w:type="gramEnd"/>
      <w:r>
        <w:t xml:space="preserve"> 2009.</w:t>
      </w:r>
    </w:p>
    <w:p w:rsidR="007F4E0F" w:rsidRDefault="007F4E0F" w:rsidP="007F4E0F"/>
    <w:sectPr w:rsidR="007F4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0F"/>
    <w:rsid w:val="001433BD"/>
    <w:rsid w:val="00170CD7"/>
    <w:rsid w:val="002A3E79"/>
    <w:rsid w:val="007F4E0F"/>
    <w:rsid w:val="00B2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767EE"/>
  <w15:chartTrackingRefBased/>
  <w15:docId w15:val="{6E137E6F-2A01-4EB8-92C7-F4A72B1BC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F4E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F4E0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802</Words>
  <Characters>4737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4</cp:revision>
  <dcterms:created xsi:type="dcterms:W3CDTF">2020-04-22T15:34:00Z</dcterms:created>
  <dcterms:modified xsi:type="dcterms:W3CDTF">2020-05-26T07:25:00Z</dcterms:modified>
</cp:coreProperties>
</file>