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CE" w:rsidRDefault="002850CE" w:rsidP="002850CE">
      <w:pPr>
        <w:pStyle w:val="Nadpis1"/>
      </w:pPr>
      <w:r>
        <w:t>Pozitivistické dějepisectví</w:t>
      </w:r>
    </w:p>
    <w:p w:rsidR="002850CE" w:rsidRPr="002850CE" w:rsidRDefault="002850CE" w:rsidP="002850CE"/>
    <w:p w:rsidR="002850CE" w:rsidRPr="008C3ED6" w:rsidRDefault="002850CE" w:rsidP="00531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ED6">
        <w:rPr>
          <w:rFonts w:ascii="Times New Roman" w:hAnsi="Times New Roman" w:cs="Times New Roman"/>
          <w:sz w:val="28"/>
          <w:szCs w:val="28"/>
        </w:rPr>
        <w:t xml:space="preserve">Pro romantické historiky bylo zcela samozřejmé, že své vědecké dílo stavěli do služeb národa a vycházeli vstříc přítomným potřebám. Ideál vědy se ale v  druhé polovině 19. století měnil. Formalizace a systemizace vědeckých metod vedla k  přesvědčení o jejich objektivitě, specializace vědy vedla k  uzavírání oborů do vlastních hranic a opomíjení souvislostí s příbuznými vědami. Cílem vědy mělo být zjištění objektivních faktů, historiografický pozitivismus ale měl s dílem Augusta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Comta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pramálo společného, v  rámci stejnojmenného filosofického směru odpovídaly postoje a přístupy historiků spíše názorům Johna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Stuarta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Milla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. Pozitivistický historik měl ideálně shromáždit veškeré dostupné prameny k  řešenému problému, dále na základě vnitřní a vnější, tj. formální a obsahové, kritiky dokumentů rozlišoval prameny pravé a falešné, prvé pak sestavoval do genetické řady podle vzájemných závislostí a výpovědní hodnoty ve vztahu ke zkoumané události. Metoda spočívající v  pramenné kritice přímo předurčovala zaměření dějepisectví na politické, událostní dějiny; požadavek na úplnou heuristiku spolu s  přetrvávajícím hledáním počátků moderních národů a státu ve středověku zase upřednostňoval dějiny starověké a středověké. Poznání postupovalo kumulativně, přiřazováním dalších zjištěných faktů k souboru již existujících. Podle slavného citátu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Ernsta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Renana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z  roku 1890 </w:t>
      </w:r>
      <w:r w:rsidRPr="008C3ED6">
        <w:rPr>
          <w:rFonts w:ascii="Times New Roman" w:hAnsi="Times New Roman" w:cs="Times New Roman"/>
          <w:i/>
          <w:sz w:val="28"/>
          <w:szCs w:val="28"/>
        </w:rPr>
        <w:t>„za sto let budeme vědět o minulosti všechno“</w:t>
      </w:r>
      <w:r w:rsidRPr="008C3ED6">
        <w:rPr>
          <w:rFonts w:ascii="Times New Roman" w:hAnsi="Times New Roman" w:cs="Times New Roman"/>
          <w:sz w:val="28"/>
          <w:szCs w:val="28"/>
        </w:rPr>
        <w:t xml:space="preserve">. Sto let dávno uplynulo a my víme, že poznání minulosti nelze oddělit od přítomnosti a že je nekonečně proměnlivé. Pozitivistické přesvědčení o jedinečnosti a neopakovatelnosti historických událostí nadto znamenalo rezignaci na možnost deduktivní rekonstrukce těch dějinných fenoménů, k nimž se nedochovaly žádné prameny. Induktivní postupy byly přijímány taktéž opatrně, jakékoliv obecné závěry mohly být formulovány teprve po poznání rozsáhlého souboru jednotlivin – ovšem za každou poznanou vystupovaly další, a formulace shrnujících soudů se tak stále </w:t>
      </w:r>
      <w:proofErr w:type="spellStart"/>
      <w:proofErr w:type="gramStart"/>
      <w:r w:rsidRPr="008C3ED6">
        <w:rPr>
          <w:rFonts w:ascii="Times New Roman" w:hAnsi="Times New Roman" w:cs="Times New Roman"/>
          <w:sz w:val="28"/>
          <w:szCs w:val="28"/>
        </w:rPr>
        <w:t>odkládala.Budování</w:t>
      </w:r>
      <w:proofErr w:type="spellEnd"/>
      <w:proofErr w:type="gramEnd"/>
      <w:r w:rsidRPr="008C3ED6">
        <w:rPr>
          <w:rFonts w:ascii="Times New Roman" w:hAnsi="Times New Roman" w:cs="Times New Roman"/>
          <w:sz w:val="28"/>
          <w:szCs w:val="28"/>
        </w:rPr>
        <w:t xml:space="preserve"> pozitivistické historie nalezlo svůj výraz ve zrodu institucí, jež se stávaly nositeli </w:t>
      </w:r>
      <w:r w:rsidRPr="008C3ED6">
        <w:rPr>
          <w:rFonts w:ascii="Times New Roman" w:hAnsi="Times New Roman" w:cs="Times New Roman"/>
          <w:sz w:val="28"/>
          <w:szCs w:val="28"/>
        </w:rPr>
        <w:lastRenderedPageBreak/>
        <w:t xml:space="preserve">tohoto pojetí vědy. Ve Francii tak byla roku 1846 zreformována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École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nationale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des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chartes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, která vychovávala archivní odborníky, o necelé desetiletí později byl při vídeňské universitě založen podle pařížského vzoru a se stejnými cíli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Institut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für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Österreichische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Geschichtsforschung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. Znakem systematizace vědy je rovněž vznik kompendií, která podávají souhrnně základy příslušného vědeckého oboru, jeho zdroje, témata a metody (podobně jako tato kniha). Pro historiky druhé poloviny 19. století plnily tuto úlohu kupříkladu přednášky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Johanna Gustava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Droysena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(1808–1884), </w:t>
      </w:r>
    </w:p>
    <w:p w:rsidR="002850CE" w:rsidRPr="008C3ED6" w:rsidRDefault="002850CE" w:rsidP="00531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ED6">
        <w:rPr>
          <w:rFonts w:ascii="Times New Roman" w:hAnsi="Times New Roman" w:cs="Times New Roman"/>
          <w:sz w:val="28"/>
          <w:szCs w:val="28"/>
        </w:rPr>
        <w:t xml:space="preserve">shrnuté v knihách </w:t>
      </w:r>
      <w:r w:rsidRPr="008C3ED6">
        <w:rPr>
          <w:rFonts w:ascii="Times New Roman" w:hAnsi="Times New Roman" w:cs="Times New Roman"/>
          <w:i/>
          <w:sz w:val="28"/>
          <w:szCs w:val="28"/>
        </w:rPr>
        <w:t xml:space="preserve">Historika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Grundriss</w:t>
      </w:r>
      <w:proofErr w:type="spellEnd"/>
      <w:r w:rsidRPr="008C3ED6">
        <w:rPr>
          <w:rFonts w:ascii="Times New Roman" w:hAnsi="Times New Roman" w:cs="Times New Roman"/>
          <w:i/>
          <w:sz w:val="28"/>
          <w:szCs w:val="28"/>
        </w:rPr>
        <w:t xml:space="preserve"> der Historika </w:t>
      </w:r>
      <w:r w:rsidRPr="008C3ED6">
        <w:rPr>
          <w:rFonts w:ascii="Times New Roman" w:hAnsi="Times New Roman" w:cs="Times New Roman"/>
          <w:sz w:val="28"/>
          <w:szCs w:val="28"/>
        </w:rPr>
        <w:t>velmi přesně a náročně podávající ústřední pojmy oboru, o něco přístupněj</w:t>
      </w:r>
      <w:r w:rsidR="008C3ED6">
        <w:rPr>
          <w:rFonts w:ascii="Times New Roman" w:hAnsi="Times New Roman" w:cs="Times New Roman"/>
          <w:sz w:val="28"/>
          <w:szCs w:val="28"/>
        </w:rPr>
        <w:t xml:space="preserve">ší a rozšířenější byla </w:t>
      </w:r>
      <w:proofErr w:type="spellStart"/>
      <w:r w:rsidR="008C3ED6" w:rsidRPr="008C3ED6">
        <w:rPr>
          <w:rFonts w:ascii="Times New Roman" w:hAnsi="Times New Roman" w:cs="Times New Roman"/>
          <w:i/>
          <w:sz w:val="28"/>
          <w:szCs w:val="28"/>
        </w:rPr>
        <w:t>Lehrbuch</w:t>
      </w:r>
      <w:proofErr w:type="spellEnd"/>
      <w:r w:rsidR="008C3ED6">
        <w:rPr>
          <w:rFonts w:ascii="Times New Roman" w:hAnsi="Times New Roman" w:cs="Times New Roman"/>
          <w:sz w:val="28"/>
          <w:szCs w:val="28"/>
        </w:rPr>
        <w:t xml:space="preserve"> </w:t>
      </w:r>
      <w:r w:rsidRPr="008C3ED6">
        <w:rPr>
          <w:rFonts w:ascii="Times New Roman" w:hAnsi="Times New Roman" w:cs="Times New Roman"/>
          <w:i/>
          <w:sz w:val="28"/>
          <w:szCs w:val="28"/>
        </w:rPr>
        <w:t xml:space="preserve">der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historischen</w:t>
      </w:r>
      <w:proofErr w:type="spellEnd"/>
      <w:r w:rsidR="008C3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Methode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Ernsta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Bernheima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>,</w:t>
      </w:r>
      <w:r w:rsidRPr="008C3ED6">
        <w:rPr>
          <w:rFonts w:ascii="Times New Roman" w:hAnsi="Times New Roman" w:cs="Times New Roman"/>
          <w:sz w:val="28"/>
          <w:szCs w:val="28"/>
        </w:rPr>
        <w:t xml:space="preserve"> v románském prostředí pak příručka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Charlese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Seignobose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a Charlese Victora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Langloise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Introduction</w:t>
      </w:r>
      <w:proofErr w:type="spellEnd"/>
      <w:r w:rsidRPr="008C3E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aux</w:t>
      </w:r>
      <w:proofErr w:type="spellEnd"/>
      <w:r w:rsidRPr="008C3E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études</w:t>
      </w:r>
      <w:proofErr w:type="spellEnd"/>
      <w:r w:rsidRPr="008C3ED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i/>
          <w:sz w:val="28"/>
          <w:szCs w:val="28"/>
        </w:rPr>
        <w:t>historiques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. Jistou paralelu k těmto knihám představuje hutná studie </w:t>
      </w:r>
      <w:r w:rsidRPr="008C3ED6">
        <w:rPr>
          <w:rFonts w:ascii="Times New Roman" w:hAnsi="Times New Roman" w:cs="Times New Roman"/>
          <w:b/>
          <w:sz w:val="28"/>
          <w:szCs w:val="28"/>
        </w:rPr>
        <w:t>J. Golla</w:t>
      </w:r>
      <w:r w:rsidRPr="008C3ED6">
        <w:rPr>
          <w:rFonts w:ascii="Times New Roman" w:hAnsi="Times New Roman" w:cs="Times New Roman"/>
          <w:sz w:val="28"/>
          <w:szCs w:val="28"/>
        </w:rPr>
        <w:t xml:space="preserve"> </w:t>
      </w:r>
      <w:r w:rsidRPr="008C3ED6">
        <w:rPr>
          <w:rFonts w:ascii="Times New Roman" w:hAnsi="Times New Roman" w:cs="Times New Roman"/>
          <w:i/>
          <w:sz w:val="28"/>
          <w:szCs w:val="28"/>
        </w:rPr>
        <w:t>Dějiny a dějepis</w:t>
      </w:r>
      <w:r w:rsidRPr="008C3ED6">
        <w:rPr>
          <w:rFonts w:ascii="Times New Roman" w:hAnsi="Times New Roman" w:cs="Times New Roman"/>
          <w:sz w:val="28"/>
          <w:szCs w:val="28"/>
        </w:rPr>
        <w:t>, reagující na spory v českém intelektuálním prostředí konce 19. století.</w:t>
      </w:r>
    </w:p>
    <w:p w:rsidR="002850CE" w:rsidRDefault="002850CE" w:rsidP="00531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ED6">
        <w:rPr>
          <w:rFonts w:ascii="Times New Roman" w:hAnsi="Times New Roman" w:cs="Times New Roman"/>
          <w:b/>
          <w:sz w:val="28"/>
          <w:szCs w:val="28"/>
        </w:rPr>
        <w:t>Jaroslav Goll</w:t>
      </w:r>
      <w:r w:rsidRPr="008C3ED6">
        <w:rPr>
          <w:rFonts w:ascii="Times New Roman" w:hAnsi="Times New Roman" w:cs="Times New Roman"/>
          <w:sz w:val="28"/>
          <w:szCs w:val="28"/>
        </w:rPr>
        <w:t xml:space="preserve"> (1846–1929) patří, i přes opakované pokusy o snižování jeho významu, k zakladatelským osobnostem českého dějepisectví a zmíněná studie jej spolu s dalšími pracemi rovnocenně vřazuje do dějepisectví evropského. Mistr krátkých forem nepřispěl do knihovních regálů objemnými syntézami, jeho síla byla v  minuciózní kritice doprovázené rozsáhlým intelektuálním zázemím a schopností vnímat komplikovanost minulosti. Ani on se však nevymanil z genetického pojetí dějin, sestávajícího z kontinuální řady příčin a následků. O Gollově škole v českém dějepisectví hovoříme zejména díky jeho učitelskému působení a vedení historického semináře, který se v poslední třetině 19. století stal nástrojem úspěšného tažení pozitivistické historiografie Evropou. Nejde pochopitelně jen o seminář na pražské Karlo-Ferdinandově universitě, který vedl již K.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Höffler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a Goll jej zreformoval podle göttingenského vzoru G.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Waitze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, semináře se stávaly nedílnou součástí výuky historie na většině universit. </w:t>
      </w:r>
      <w:r w:rsidRPr="008C3ED6">
        <w:rPr>
          <w:rFonts w:ascii="Times New Roman" w:hAnsi="Times New Roman" w:cs="Times New Roman"/>
          <w:sz w:val="28"/>
          <w:szCs w:val="28"/>
        </w:rPr>
        <w:lastRenderedPageBreak/>
        <w:t xml:space="preserve">Semináře produkovaly velké množství kvalitních odborníků, pro které se sice leckdy obtížně nacházela odborná místa, mnozí z  nich ale pokračovali v  historických výzkumech i při středoškolských profesurách nebo při archivní službě, a dějiny dějepisectví se tak v této době začínají rychle „zalidňovat“. Každý specialista snadno vyjmenuje desítky odborníků z  konce 19. století, jejichž práce považuje za nezbytné, historikovi dějepisectví se zdá složité odbýt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Georga von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Bellow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Hippolyta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Taina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, Johna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Actona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 či Theodora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Mommsena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, o početné řadě dalších nemluvě, jen zmínkou o jejich jménech. Vedle politických dějin zažívaly rozmach ještě dějiny správní a právní, rozvíjené bratry </w:t>
      </w:r>
      <w:r w:rsidRPr="008C3ED6">
        <w:rPr>
          <w:rFonts w:ascii="Times New Roman" w:hAnsi="Times New Roman" w:cs="Times New Roman"/>
          <w:b/>
          <w:sz w:val="28"/>
          <w:szCs w:val="28"/>
        </w:rPr>
        <w:t xml:space="preserve">Jakobem a Wilhelmem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Grimmem</w:t>
      </w:r>
      <w:proofErr w:type="spellEnd"/>
      <w:r w:rsidRPr="008C3ED6">
        <w:rPr>
          <w:rFonts w:ascii="Times New Roman" w:hAnsi="Times New Roman" w:cs="Times New Roman"/>
          <w:b/>
          <w:sz w:val="28"/>
          <w:szCs w:val="28"/>
        </w:rPr>
        <w:t xml:space="preserve">, Georgem </w:t>
      </w:r>
      <w:proofErr w:type="spellStart"/>
      <w:r w:rsidRPr="008C3ED6">
        <w:rPr>
          <w:rFonts w:ascii="Times New Roman" w:hAnsi="Times New Roman" w:cs="Times New Roman"/>
          <w:b/>
          <w:sz w:val="28"/>
          <w:szCs w:val="28"/>
        </w:rPr>
        <w:t>Waitzem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a dalšími historiky.</w:t>
      </w:r>
      <w:r w:rsidR="008C3ED6">
        <w:rPr>
          <w:rFonts w:ascii="Times New Roman" w:hAnsi="Times New Roman" w:cs="Times New Roman"/>
          <w:sz w:val="28"/>
          <w:szCs w:val="28"/>
        </w:rPr>
        <w:t xml:space="preserve"> </w:t>
      </w:r>
      <w:r w:rsidRPr="008C3ED6">
        <w:rPr>
          <w:rFonts w:ascii="Times New Roman" w:hAnsi="Times New Roman" w:cs="Times New Roman"/>
          <w:sz w:val="28"/>
          <w:szCs w:val="28"/>
        </w:rPr>
        <w:t xml:space="preserve">Výše popsaná podoba pozitivismu převládla ve Francii, Německu, rakouskouherské střední Evropě, do jisté míry v Itálii a poté v zemích, které byly vystaveny jejich myšlenkovým vlivům, např. Finsku či Japonsku, částečně v Rusku. Nebyla však jedinou závaznou formou historické práce. Země bez starověkých a středověkých pramenů, bez středověké minulosti, v níž by bylo možné hledat kořeny moderního státu, se logicky zaměřila na minulost relativně mladou a její problémy. Severoamerické dějepisectví, přes dočasnou dominanci pozitivismu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rank</w:t>
      </w:r>
      <w:r w:rsidR="008C3ED6">
        <w:rPr>
          <w:rFonts w:ascii="Times New Roman" w:hAnsi="Times New Roman" w:cs="Times New Roman"/>
          <w:sz w:val="28"/>
          <w:szCs w:val="28"/>
        </w:rPr>
        <w:t>e</w:t>
      </w:r>
      <w:r w:rsidRPr="008C3ED6">
        <w:rPr>
          <w:rFonts w:ascii="Times New Roman" w:hAnsi="Times New Roman" w:cs="Times New Roman"/>
          <w:sz w:val="28"/>
          <w:szCs w:val="28"/>
        </w:rPr>
        <w:t>ovského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 ražení, během níž vyšly velké syntézy dějin mladého národa (např. od G. </w:t>
      </w:r>
      <w:proofErr w:type="spellStart"/>
      <w:r w:rsidRPr="008C3ED6">
        <w:rPr>
          <w:rFonts w:ascii="Times New Roman" w:hAnsi="Times New Roman" w:cs="Times New Roman"/>
          <w:sz w:val="28"/>
          <w:szCs w:val="28"/>
        </w:rPr>
        <w:t>Bancrofta</w:t>
      </w:r>
      <w:proofErr w:type="spellEnd"/>
      <w:r w:rsidRPr="008C3ED6">
        <w:rPr>
          <w:rFonts w:ascii="Times New Roman" w:hAnsi="Times New Roman" w:cs="Times New Roman"/>
          <w:sz w:val="28"/>
          <w:szCs w:val="28"/>
        </w:rPr>
        <w:t xml:space="preserve">), obrátilo na sklonku 19. století pozornost na hospodářské problémy a pokoušelo se v opozici proti individualistickému dějepisectví formulovat obecné zákonitosti společenského a hospodářského vývoje. </w:t>
      </w:r>
      <w:proofErr w:type="spellStart"/>
      <w:r w:rsidRPr="0053180E">
        <w:rPr>
          <w:rFonts w:ascii="Times New Roman" w:hAnsi="Times New Roman" w:cs="Times New Roman"/>
          <w:i/>
          <w:sz w:val="28"/>
          <w:szCs w:val="28"/>
        </w:rPr>
        <w:t>The</w:t>
      </w:r>
      <w:proofErr w:type="spellEnd"/>
      <w:r w:rsidRPr="0053180E">
        <w:rPr>
          <w:rFonts w:ascii="Times New Roman" w:hAnsi="Times New Roman" w:cs="Times New Roman"/>
          <w:i/>
          <w:sz w:val="28"/>
          <w:szCs w:val="28"/>
        </w:rPr>
        <w:t xml:space="preserve"> New </w:t>
      </w:r>
      <w:proofErr w:type="spellStart"/>
      <w:r w:rsidRPr="0053180E">
        <w:rPr>
          <w:rFonts w:ascii="Times New Roman" w:hAnsi="Times New Roman" w:cs="Times New Roman"/>
          <w:i/>
          <w:sz w:val="28"/>
          <w:szCs w:val="28"/>
        </w:rPr>
        <w:t>History</w:t>
      </w:r>
      <w:proofErr w:type="spellEnd"/>
      <w:r w:rsidR="0053180E">
        <w:rPr>
          <w:rFonts w:ascii="Times New Roman" w:hAnsi="Times New Roman" w:cs="Times New Roman"/>
          <w:sz w:val="28"/>
          <w:szCs w:val="28"/>
        </w:rPr>
        <w:t xml:space="preserve"> </w:t>
      </w:r>
      <w:r w:rsidRPr="008C3ED6">
        <w:rPr>
          <w:rFonts w:ascii="Times New Roman" w:hAnsi="Times New Roman" w:cs="Times New Roman"/>
          <w:sz w:val="28"/>
          <w:szCs w:val="28"/>
        </w:rPr>
        <w:t xml:space="preserve">nazval v roce 1912 svou knihu </w:t>
      </w:r>
      <w:r w:rsidRPr="0053180E">
        <w:rPr>
          <w:rFonts w:ascii="Times New Roman" w:hAnsi="Times New Roman" w:cs="Times New Roman"/>
          <w:b/>
          <w:sz w:val="28"/>
          <w:szCs w:val="28"/>
        </w:rPr>
        <w:t>James H. Robinson</w:t>
      </w:r>
      <w:r w:rsidRPr="008C3ED6">
        <w:rPr>
          <w:rFonts w:ascii="Times New Roman" w:hAnsi="Times New Roman" w:cs="Times New Roman"/>
          <w:sz w:val="28"/>
          <w:szCs w:val="28"/>
        </w:rPr>
        <w:t xml:space="preserve"> a stejné pojmenování převzal celý směr. Hospodářské dějiny nabídly badatelskou cestu historikům v Rusku, kteří kvůli problémům s carskou cenzurou neměli zcela svobodný prostor k výzkumu politických dějin země; vlivem národohosp</w:t>
      </w:r>
      <w:r w:rsidR="0053180E">
        <w:rPr>
          <w:rFonts w:ascii="Times New Roman" w:hAnsi="Times New Roman" w:cs="Times New Roman"/>
          <w:sz w:val="28"/>
          <w:szCs w:val="28"/>
        </w:rPr>
        <w:t xml:space="preserve">odářů získávaly své stoupence v </w:t>
      </w:r>
      <w:r w:rsidRPr="008C3ED6">
        <w:rPr>
          <w:rFonts w:ascii="Times New Roman" w:hAnsi="Times New Roman" w:cs="Times New Roman"/>
          <w:sz w:val="28"/>
          <w:szCs w:val="28"/>
        </w:rPr>
        <w:t>Německu stejně jako v Anglii. To vše vytvářelo vhodné podmínky pro další proměny oboru ve 20. století.</w:t>
      </w:r>
    </w:p>
    <w:p w:rsidR="0053180E" w:rsidRDefault="0053180E" w:rsidP="005318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Českou historiografii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pozitivismu – Gollova škola - </w:t>
      </w:r>
      <w:r>
        <w:rPr>
          <w:rFonts w:ascii="Times New Roman" w:hAnsi="Times New Roman" w:cs="Times New Roman"/>
          <w:sz w:val="28"/>
          <w:szCs w:val="28"/>
        </w:rPr>
        <w:t xml:space="preserve"> je potřeba nastudovat z publikace:</w:t>
      </w:r>
    </w:p>
    <w:p w:rsidR="0053180E" w:rsidRDefault="0053180E" w:rsidP="005318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KUTNAR, František. </w:t>
      </w:r>
      <w:r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i/>
          <w:sz w:val="28"/>
          <w:szCs w:val="28"/>
        </w:rPr>
        <w:t xml:space="preserve"> II</w:t>
      </w:r>
      <w:r>
        <w:rPr>
          <w:rFonts w:ascii="Times New Roman" w:hAnsi="Times New Roman" w:cs="Times New Roman"/>
          <w:sz w:val="28"/>
          <w:szCs w:val="28"/>
        </w:rPr>
        <w:t>. Praha: SPN, 1978</w:t>
      </w:r>
      <w:r>
        <w:rPr>
          <w:rFonts w:ascii="Times New Roman" w:hAnsi="Times New Roman" w:cs="Times New Roman"/>
          <w:sz w:val="28"/>
          <w:szCs w:val="28"/>
        </w:rPr>
        <w:t xml:space="preserve">, s. </w:t>
      </w:r>
      <w:r>
        <w:rPr>
          <w:rFonts w:ascii="Times New Roman" w:hAnsi="Times New Roman" w:cs="Times New Roman"/>
          <w:sz w:val="28"/>
          <w:szCs w:val="28"/>
        </w:rPr>
        <w:t>16-37, 90-166.</w:t>
      </w:r>
      <w:bookmarkStart w:id="0" w:name="_GoBack"/>
      <w:bookmarkEnd w:id="0"/>
    </w:p>
    <w:p w:rsidR="0053180E" w:rsidRDefault="0053180E" w:rsidP="00531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80E" w:rsidRPr="008C3ED6" w:rsidRDefault="0053180E" w:rsidP="005318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0CE" w:rsidRDefault="002850CE" w:rsidP="002850CE"/>
    <w:p w:rsidR="002850CE" w:rsidRPr="002850CE" w:rsidRDefault="002850CE" w:rsidP="002850CE">
      <w:pPr>
        <w:rPr>
          <w:b/>
        </w:rPr>
      </w:pPr>
      <w:r w:rsidRPr="002850CE">
        <w:rPr>
          <w:b/>
        </w:rPr>
        <w:t>K dalšímu čtení:</w:t>
      </w:r>
    </w:p>
    <w:p w:rsidR="002850CE" w:rsidRDefault="002850CE" w:rsidP="002850CE">
      <w:proofErr w:type="spellStart"/>
      <w:r>
        <w:t>Charle</w:t>
      </w:r>
      <w:proofErr w:type="spellEnd"/>
      <w:r>
        <w:t xml:space="preserve">, </w:t>
      </w:r>
      <w:proofErr w:type="spellStart"/>
      <w:r>
        <w:t>Christoph</w:t>
      </w:r>
      <w:proofErr w:type="spellEnd"/>
      <w:r>
        <w:t>: Intelektuálové v Evropě 19. století. Brno 2004.</w:t>
      </w:r>
    </w:p>
    <w:p w:rsidR="002850CE" w:rsidRDefault="002850CE" w:rsidP="002850CE">
      <w:proofErr w:type="spellStart"/>
      <w:r>
        <w:t>Kazbunda</w:t>
      </w:r>
      <w:proofErr w:type="spellEnd"/>
      <w:r>
        <w:t>, Karel: Stolice dějin na pražské universitě. I–III. Praha 1964–1968.</w:t>
      </w:r>
    </w:p>
    <w:p w:rsidR="002850CE" w:rsidRDefault="002850CE" w:rsidP="002850CE">
      <w:proofErr w:type="spellStart"/>
      <w:r>
        <w:t>Loewenstein</w:t>
      </w:r>
      <w:proofErr w:type="spellEnd"/>
      <w:r>
        <w:t>, Bedřich: Víra v pokrok. Dějiny jedné evropské ideje. Praha 2009.</w:t>
      </w:r>
    </w:p>
    <w:p w:rsidR="002850CE" w:rsidRDefault="002850CE" w:rsidP="002850CE">
      <w:r>
        <w:t>Marek, Jaroslav: Jaroslav Goll. Praha 1991.</w:t>
      </w:r>
    </w:p>
    <w:p w:rsidR="002A3E79" w:rsidRDefault="002A3E79" w:rsidP="002850CE"/>
    <w:sectPr w:rsidR="002A3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CE"/>
    <w:rsid w:val="002850CE"/>
    <w:rsid w:val="002A3E79"/>
    <w:rsid w:val="0053180E"/>
    <w:rsid w:val="008C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940AA"/>
  <w15:chartTrackingRefBased/>
  <w15:docId w15:val="{20E54761-7ACE-4E5D-8BC6-278EE98F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50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50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963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2</cp:revision>
  <dcterms:created xsi:type="dcterms:W3CDTF">2020-04-22T15:36:00Z</dcterms:created>
  <dcterms:modified xsi:type="dcterms:W3CDTF">2020-05-25T19:27:00Z</dcterms:modified>
</cp:coreProperties>
</file>