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ADE1F" w14:textId="77777777" w:rsidR="004539EB" w:rsidRPr="0016087B" w:rsidRDefault="004539EB" w:rsidP="007B300A">
      <w:pPr>
        <w:pStyle w:val="Nadpis1"/>
      </w:pPr>
      <w:r w:rsidRPr="0016087B">
        <w:t>Euro</w:t>
      </w:r>
    </w:p>
    <w:p w14:paraId="7B57FAEA" w14:textId="77777777" w:rsidR="004539EB" w:rsidRDefault="004539EB" w:rsidP="004539EB">
      <w:r>
        <w:t>Euro (symbol €, měnový kód ISO 4217: EUR) je měna eurozóny a po americkém dolaru (USD) druhý nejdůležitější reprezentant ve světovém měnovém systému. Měnová politika eurozóny je prováděna Evropskou centrální bankou ve Frankfurtu nad Mohanem.</w:t>
      </w:r>
    </w:p>
    <w:p w14:paraId="7941D0ED" w14:textId="77777777" w:rsidR="004539EB" w:rsidRDefault="004539EB" w:rsidP="004539EB">
      <w:r>
        <w:t>Euro je oficiálním platidlem v 16 z 27 států Evropské unie (těchto 16 států tvoří eurozónu) a v šesti dalších zemích mimo EU.</w:t>
      </w:r>
    </w:p>
    <w:p w14:paraId="6CF8FFEB" w14:textId="77777777" w:rsidR="004539EB" w:rsidRPr="0016087B" w:rsidRDefault="004539EB" w:rsidP="007B300A">
      <w:pPr>
        <w:pStyle w:val="Nadpis1"/>
      </w:pPr>
      <w:r w:rsidRPr="0016087B">
        <w:t>Historie eura</w:t>
      </w:r>
    </w:p>
    <w:p w14:paraId="277EC2E6" w14:textId="77777777" w:rsidR="004539EB" w:rsidRDefault="004539EB" w:rsidP="007B300A">
      <w:r>
        <w:t>Euro platí jako kreditní peníze od 1. ledna 1999 a 1. ledna 2002 bylo zavedeno jako hotovostní peníze, a tak nahradilo dříve platné měny používané v příslušných státech eurozóny.</w:t>
      </w:r>
    </w:p>
    <w:p w14:paraId="4507B404" w14:textId="77777777" w:rsidR="004539EB" w:rsidRDefault="004539EB" w:rsidP="004539EB">
      <w:r>
        <w:t>Euro svého historicky nejsilnějšího kurzu (1, 5990 amerického dolaru za euro) dosáhlo na devizovém trhu 15. července 2008, svůj největší propad pak zaznamenalo 26. října 2000 (při kurzu 0,8252 USD za euro). Průměrný kurz v období od zavedení eura 1. ledna 1999 do 31. prosince 2008 činil 1,11 USD za euro. Průměrný kurz v roce 2007 byl 1,37 amerického dolaru za euro, v roce 2008 pak 1,46 USD za euro.</w:t>
      </w:r>
    </w:p>
    <w:p w14:paraId="5391DBB6" w14:textId="77777777" w:rsidR="004539EB" w:rsidRDefault="004539EB" w:rsidP="004539EB">
      <w:r>
        <w:t>Postupně se zvyšuje role eura jako rezervní měny v mezinárodním měnovém systému na úkor amerického dolaru. Zatímco v roce 1999 držely centrální banky 18 % svých devizových rezerv v eurech a 71 % v USD, do roku 2007 narostl podíl eura v devizových rezervách na 26,5 %, kdežto podíl amerického dolaru poklesl na 64 %.</w:t>
      </w:r>
    </w:p>
    <w:p w14:paraId="1DA6C24A" w14:textId="77777777" w:rsidR="004539EB" w:rsidRPr="0016087B" w:rsidRDefault="004539EB" w:rsidP="007B300A">
      <w:pPr>
        <w:pStyle w:val="Nadpis1"/>
      </w:pPr>
      <w:r w:rsidRPr="0016087B">
        <w:t>Euromince a Eurobankovky</w:t>
      </w:r>
    </w:p>
    <w:p w14:paraId="21785D50" w14:textId="77777777" w:rsidR="004539EB" w:rsidRDefault="004539EB" w:rsidP="004539EB">
      <w:r>
        <w:t>Jedno euro se člení na 100 centů (</w:t>
      </w:r>
      <w:proofErr w:type="spellStart"/>
      <w:r>
        <w:t>eurocentů</w:t>
      </w:r>
      <w:proofErr w:type="spellEnd"/>
      <w:r>
        <w:t>). Euromince mají nominální hodnoty 1 c, 2 c, 5 c, 10 c, 20 c, 50 c, 1 € a 2 €. Ve Finsku se jednocentové a dvoucentové mince běžně nepoužívají, razí se pouze pro sběratele.</w:t>
      </w:r>
    </w:p>
    <w:p w14:paraId="21A08408" w14:textId="77777777" w:rsidR="004539EB" w:rsidRDefault="004539EB" w:rsidP="004539EB">
      <w:r>
        <w:t>Euromince jednotlivých nominálních hodnot mají shodnou lícovou stranu, na které je zobrazena mapa Evropy, a odlišnou národní rubovou stranu pro každý členský stát eurozóny (podobný systém stejné lícové strany a různých rubových stran mincí používá kapverdské escudo a CFP frank). Všechny euromince mohou být používány ve všech členských zemích eurozóny.</w:t>
      </w:r>
    </w:p>
    <w:p w14:paraId="25F5E2B3" w14:textId="77777777" w:rsidR="004539EB" w:rsidRDefault="004539EB" w:rsidP="004539EB">
      <w:r>
        <w:t>Eurobankovky mají nominální hodnoty 5 €, 10 €, 20 €, 50 €, 100 €, 200 € a 500 €. Eurobankovky jednotlivých nominálních hodnot mají design na lícové i rubové straně shodný pro všechny členské státy eurozóny.</w:t>
      </w:r>
    </w:p>
    <w:p w14:paraId="6506C4EB" w14:textId="77777777" w:rsidR="004539EB" w:rsidRPr="0016087B" w:rsidRDefault="004539EB" w:rsidP="007B300A">
      <w:pPr>
        <w:pStyle w:val="Nadpis1"/>
      </w:pPr>
      <w:r w:rsidRPr="0016087B">
        <w:t>Členské státy eurozóny</w:t>
      </w:r>
    </w:p>
    <w:p w14:paraId="4FBD47AF" w14:textId="77777777" w:rsidR="004539EB" w:rsidRDefault="004539EB" w:rsidP="004539EB">
      <w:r>
        <w:t xml:space="preserve">Eurozóna je měnová unie, která sdružuje členské státy Evropské unie, jež přijaly euro jako svou jednotnou měnu. Vznikla v roce 1999 s jedenácti zakládajícími státy a v současné době zahrnuje 20 zemí. Hlavním cílem eurozóny je posílit hospodářskou integraci, usnadnit obchod mezi členskými státy a podpořit cenovou stabilitu. Institucionálně je řízena Evropskou centrální bankou (ECB), která je zodpovědná za měnovou politiku v celé unii, a koordinací ekonomických politik mezi vládami členských států. Existence jediné měny eliminuje kurzové riziko a transakční náklady, což přispívá k volnému pohybu zboží, služeb, kapitálu a osob. </w:t>
      </w:r>
    </w:p>
    <w:p w14:paraId="2B73D606" w14:textId="77777777" w:rsidR="004539EB" w:rsidRDefault="004539EB" w:rsidP="004539EB">
      <w:r>
        <w:lastRenderedPageBreak/>
        <w:t>Přijetí eura přináší členským státům řadu výhod, ale i některé nevýhody. Mezi hlavní přínosy patří usnadnění mezinárodního obchodu a investic, transparentnější ceny napříč regiony a silnější postavení na světových finančních trzích. Euro také chrání před měnovými výkyvy a usnadňuje cestování. Na druhou stranu, členství v eurozóně znamená ztrátu vlastní měnové suverenity. Centrální banky jednotlivých zemí nemohou samostatně ovlivňovat měnovou politiku, což ztěžuje reakci na asymetrické ekonomické šoky. Například země, která zažívá recesi, nemůže devalvovat svou měnu, aby podpořila export, což může prohloubit její hospodářské potíže.</w:t>
      </w:r>
    </w:p>
    <w:p w14:paraId="13326410" w14:textId="77777777" w:rsidR="007B300A" w:rsidRDefault="0016087B" w:rsidP="007B300A">
      <w:pPr>
        <w:keepNext/>
        <w:jc w:val="center"/>
      </w:pPr>
      <w:r>
        <w:rPr>
          <w:noProof/>
        </w:rPr>
        <w:drawing>
          <wp:inline distT="0" distB="0" distL="0" distR="0" wp14:anchorId="1A43C57E" wp14:editId="26C5F843">
            <wp:extent cx="3429000" cy="3995465"/>
            <wp:effectExtent l="0" t="0" r="0" b="5080"/>
            <wp:docPr id="157517647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33489" cy="4000696"/>
                    </a:xfrm>
                    <a:prstGeom prst="rect">
                      <a:avLst/>
                    </a:prstGeom>
                    <a:noFill/>
                    <a:ln>
                      <a:noFill/>
                    </a:ln>
                  </pic:spPr>
                </pic:pic>
              </a:graphicData>
            </a:graphic>
          </wp:inline>
        </w:drawing>
      </w:r>
    </w:p>
    <w:p w14:paraId="1A337089" w14:textId="66512013" w:rsidR="0016087B" w:rsidRDefault="007B300A" w:rsidP="007B300A">
      <w:pPr>
        <w:pStyle w:val="Titulek"/>
      </w:pPr>
      <w:r>
        <w:t xml:space="preserve">Obrázek </w:t>
      </w:r>
      <w:r>
        <w:fldChar w:fldCharType="begin"/>
      </w:r>
      <w:r>
        <w:instrText xml:space="preserve"> SEQ Obrázek \* ARABIC </w:instrText>
      </w:r>
      <w:r>
        <w:fldChar w:fldCharType="separate"/>
      </w:r>
      <w:r>
        <w:rPr>
          <w:noProof/>
        </w:rPr>
        <w:t>1</w:t>
      </w:r>
      <w:r>
        <w:fldChar w:fldCharType="end"/>
      </w:r>
      <w:r>
        <w:t>: Státy eurozóny</w:t>
      </w:r>
    </w:p>
    <w:p w14:paraId="444B4FE9" w14:textId="3064D180" w:rsidR="004539EB" w:rsidRDefault="004539EB" w:rsidP="004539EB">
      <w:r>
        <w:t>Státy používající euro</w:t>
      </w:r>
      <w:r w:rsidR="0016087B">
        <w:t>:</w:t>
      </w:r>
    </w:p>
    <w:p w14:paraId="18456F9E" w14:textId="548DC352" w:rsidR="004539EB" w:rsidRDefault="004539EB" w:rsidP="0016087B">
      <w:pPr>
        <w:pStyle w:val="Odstavecseseznamem"/>
        <w:numPr>
          <w:ilvl w:val="0"/>
          <w:numId w:val="2"/>
        </w:numPr>
        <w:ind w:left="709" w:hanging="349"/>
      </w:pPr>
      <w:r>
        <w:t>Belgie *</w:t>
      </w:r>
    </w:p>
    <w:p w14:paraId="3AD7CF4C" w14:textId="40739C9E" w:rsidR="004539EB" w:rsidRDefault="004539EB" w:rsidP="0016087B">
      <w:pPr>
        <w:pStyle w:val="Odstavecseseznamem"/>
        <w:numPr>
          <w:ilvl w:val="0"/>
          <w:numId w:val="2"/>
        </w:numPr>
        <w:ind w:left="709" w:hanging="349"/>
      </w:pPr>
      <w:r>
        <w:t>Finsko *</w:t>
      </w:r>
    </w:p>
    <w:p w14:paraId="04387AB8" w14:textId="242F3EB4" w:rsidR="004539EB" w:rsidRDefault="004539EB" w:rsidP="0016087B">
      <w:pPr>
        <w:pStyle w:val="Odstavecseseznamem"/>
        <w:numPr>
          <w:ilvl w:val="0"/>
          <w:numId w:val="2"/>
        </w:numPr>
        <w:ind w:left="709" w:hanging="349"/>
      </w:pPr>
      <w:r>
        <w:t>Francie *</w:t>
      </w:r>
    </w:p>
    <w:p w14:paraId="05C88BBC" w14:textId="24855745" w:rsidR="004539EB" w:rsidRDefault="004539EB" w:rsidP="0016087B">
      <w:pPr>
        <w:pStyle w:val="Odstavecseseznamem"/>
        <w:numPr>
          <w:ilvl w:val="0"/>
          <w:numId w:val="2"/>
        </w:numPr>
        <w:ind w:left="709" w:hanging="349"/>
      </w:pPr>
      <w:r>
        <w:t>Irsko *</w:t>
      </w:r>
    </w:p>
    <w:p w14:paraId="79A5692F" w14:textId="45AE68FE" w:rsidR="004539EB" w:rsidRDefault="004539EB" w:rsidP="0016087B">
      <w:pPr>
        <w:pStyle w:val="Odstavecseseznamem"/>
        <w:numPr>
          <w:ilvl w:val="0"/>
          <w:numId w:val="2"/>
        </w:numPr>
        <w:ind w:left="709" w:hanging="349"/>
      </w:pPr>
      <w:r>
        <w:t>Itálie *</w:t>
      </w:r>
    </w:p>
    <w:p w14:paraId="59C131A0" w14:textId="72B05411" w:rsidR="004539EB" w:rsidRDefault="004539EB" w:rsidP="0016087B">
      <w:pPr>
        <w:pStyle w:val="Odstavecseseznamem"/>
        <w:numPr>
          <w:ilvl w:val="0"/>
          <w:numId w:val="2"/>
        </w:numPr>
        <w:ind w:left="709" w:hanging="349"/>
      </w:pPr>
      <w:r>
        <w:t>Kypr</w:t>
      </w:r>
    </w:p>
    <w:p w14:paraId="6399A336" w14:textId="7D31FA1A" w:rsidR="004539EB" w:rsidRDefault="004539EB" w:rsidP="0016087B">
      <w:pPr>
        <w:pStyle w:val="Odstavecseseznamem"/>
        <w:numPr>
          <w:ilvl w:val="0"/>
          <w:numId w:val="2"/>
        </w:numPr>
        <w:ind w:left="709" w:hanging="349"/>
      </w:pPr>
      <w:r>
        <w:t>Lucembursko *</w:t>
      </w:r>
    </w:p>
    <w:p w14:paraId="18173186" w14:textId="09B58CD6" w:rsidR="004539EB" w:rsidRDefault="004539EB" w:rsidP="0016087B">
      <w:pPr>
        <w:pStyle w:val="Odstavecseseznamem"/>
        <w:numPr>
          <w:ilvl w:val="0"/>
          <w:numId w:val="2"/>
        </w:numPr>
        <w:ind w:left="709" w:hanging="349"/>
      </w:pPr>
      <w:r>
        <w:t>Malta</w:t>
      </w:r>
    </w:p>
    <w:p w14:paraId="4CD3B287" w14:textId="03361259" w:rsidR="004539EB" w:rsidRDefault="004539EB" w:rsidP="0016087B">
      <w:pPr>
        <w:pStyle w:val="Odstavecseseznamem"/>
        <w:numPr>
          <w:ilvl w:val="0"/>
          <w:numId w:val="2"/>
        </w:numPr>
        <w:ind w:left="709" w:hanging="349"/>
      </w:pPr>
      <w:r>
        <w:t>Německo *</w:t>
      </w:r>
    </w:p>
    <w:p w14:paraId="7074BE81" w14:textId="612FC20E" w:rsidR="004539EB" w:rsidRDefault="004539EB" w:rsidP="0016087B">
      <w:pPr>
        <w:pStyle w:val="Odstavecseseznamem"/>
        <w:numPr>
          <w:ilvl w:val="0"/>
          <w:numId w:val="2"/>
        </w:numPr>
        <w:ind w:left="709" w:hanging="349"/>
      </w:pPr>
      <w:r>
        <w:t>Nizozemsko *</w:t>
      </w:r>
    </w:p>
    <w:p w14:paraId="49BD566B" w14:textId="5D0E2120" w:rsidR="004539EB" w:rsidRDefault="004539EB" w:rsidP="0016087B">
      <w:pPr>
        <w:pStyle w:val="Odstavecseseznamem"/>
        <w:numPr>
          <w:ilvl w:val="0"/>
          <w:numId w:val="2"/>
        </w:numPr>
        <w:ind w:left="709" w:hanging="349"/>
      </w:pPr>
      <w:r>
        <w:t>Portugalsko *</w:t>
      </w:r>
    </w:p>
    <w:p w14:paraId="7FA934F0" w14:textId="64F55080" w:rsidR="004539EB" w:rsidRDefault="004539EB" w:rsidP="0016087B">
      <w:pPr>
        <w:pStyle w:val="Odstavecseseznamem"/>
        <w:numPr>
          <w:ilvl w:val="0"/>
          <w:numId w:val="2"/>
        </w:numPr>
        <w:ind w:left="709" w:hanging="349"/>
      </w:pPr>
      <w:r>
        <w:t>Rakousko *</w:t>
      </w:r>
    </w:p>
    <w:p w14:paraId="1960D4E0" w14:textId="428BF099" w:rsidR="004539EB" w:rsidRDefault="004539EB" w:rsidP="0016087B">
      <w:pPr>
        <w:pStyle w:val="Odstavecseseznamem"/>
        <w:numPr>
          <w:ilvl w:val="0"/>
          <w:numId w:val="2"/>
        </w:numPr>
        <w:ind w:left="709" w:hanging="349"/>
      </w:pPr>
      <w:r>
        <w:t>Řecko *</w:t>
      </w:r>
    </w:p>
    <w:p w14:paraId="32D34841" w14:textId="4BD3CCF9" w:rsidR="004539EB" w:rsidRDefault="004539EB" w:rsidP="0016087B">
      <w:pPr>
        <w:pStyle w:val="Odstavecseseznamem"/>
        <w:numPr>
          <w:ilvl w:val="0"/>
          <w:numId w:val="2"/>
        </w:numPr>
        <w:ind w:left="709" w:hanging="349"/>
      </w:pPr>
      <w:r>
        <w:t>Slovensko</w:t>
      </w:r>
    </w:p>
    <w:p w14:paraId="6E87A5E6" w14:textId="0AAC9B2B" w:rsidR="004539EB" w:rsidRDefault="004539EB" w:rsidP="0016087B">
      <w:pPr>
        <w:pStyle w:val="Odstavecseseznamem"/>
        <w:numPr>
          <w:ilvl w:val="0"/>
          <w:numId w:val="2"/>
        </w:numPr>
        <w:ind w:left="709" w:hanging="349"/>
      </w:pPr>
      <w:r>
        <w:t>Slovinsko</w:t>
      </w:r>
    </w:p>
    <w:p w14:paraId="64F462E9" w14:textId="12CE97EB" w:rsidR="004539EB" w:rsidRDefault="004539EB" w:rsidP="0016087B">
      <w:pPr>
        <w:pStyle w:val="Odstavecseseznamem"/>
        <w:numPr>
          <w:ilvl w:val="0"/>
          <w:numId w:val="2"/>
        </w:numPr>
        <w:ind w:left="709" w:hanging="349"/>
      </w:pPr>
      <w:r>
        <w:t>Španělsko *</w:t>
      </w:r>
    </w:p>
    <w:p w14:paraId="0E837650" w14:textId="77777777" w:rsidR="004539EB" w:rsidRDefault="004539EB" w:rsidP="004539EB">
      <w:r>
        <w:lastRenderedPageBreak/>
        <w:t>(*) státy, které zavedly euromince a eurobankovky do oběhu už v roce 2002</w:t>
      </w:r>
    </w:p>
    <w:p w14:paraId="645EA397" w14:textId="77777777" w:rsidR="004539EB" w:rsidRDefault="004539EB" w:rsidP="004539EB"/>
    <w:tbl>
      <w:tblPr>
        <w:tblStyle w:val="Prosttabulka5"/>
        <w:tblW w:w="0" w:type="auto"/>
        <w:tblLook w:val="04A0" w:firstRow="1" w:lastRow="0" w:firstColumn="1" w:lastColumn="0" w:noHBand="0" w:noVBand="1"/>
      </w:tblPr>
      <w:tblGrid>
        <w:gridCol w:w="3020"/>
        <w:gridCol w:w="1091"/>
        <w:gridCol w:w="4951"/>
      </w:tblGrid>
      <w:tr w:rsidR="007B300A" w:rsidRPr="007B300A" w14:paraId="6FDCF481" w14:textId="77777777" w:rsidTr="007B300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20" w:type="dxa"/>
          </w:tcPr>
          <w:p w14:paraId="68A326C5" w14:textId="77777777" w:rsidR="007B300A" w:rsidRPr="007B300A" w:rsidRDefault="007B300A" w:rsidP="001F55B7">
            <w:r w:rsidRPr="007B300A">
              <w:t>Měna</w:t>
            </w:r>
          </w:p>
        </w:tc>
        <w:tc>
          <w:tcPr>
            <w:tcW w:w="1091" w:type="dxa"/>
          </w:tcPr>
          <w:p w14:paraId="56133A71" w14:textId="77777777" w:rsidR="007B300A" w:rsidRPr="007B300A" w:rsidRDefault="007B300A" w:rsidP="001F55B7">
            <w:pPr>
              <w:cnfStyle w:val="100000000000" w:firstRow="1" w:lastRow="0" w:firstColumn="0" w:lastColumn="0" w:oddVBand="0" w:evenVBand="0" w:oddHBand="0" w:evenHBand="0" w:firstRowFirstColumn="0" w:firstRowLastColumn="0" w:lastRowFirstColumn="0" w:lastRowLastColumn="0"/>
            </w:pPr>
            <w:r w:rsidRPr="007B300A">
              <w:t>Zkr.</w:t>
            </w:r>
          </w:p>
        </w:tc>
        <w:tc>
          <w:tcPr>
            <w:tcW w:w="4951" w:type="dxa"/>
          </w:tcPr>
          <w:p w14:paraId="3AB5E9F3" w14:textId="77777777" w:rsidR="007B300A" w:rsidRPr="007B300A" w:rsidRDefault="007B300A" w:rsidP="001F55B7">
            <w:pPr>
              <w:cnfStyle w:val="100000000000" w:firstRow="1" w:lastRow="0" w:firstColumn="0" w:lastColumn="0" w:oddVBand="0" w:evenVBand="0" w:oddHBand="0" w:evenHBand="0" w:firstRowFirstColumn="0" w:firstRowLastColumn="0" w:lastRowFirstColumn="0" w:lastRowLastColumn="0"/>
            </w:pPr>
            <w:r w:rsidRPr="007B300A">
              <w:t>Přepočítací koeficient k euru</w:t>
            </w:r>
          </w:p>
        </w:tc>
      </w:tr>
      <w:tr w:rsidR="007B300A" w:rsidRPr="007B300A" w14:paraId="24466610"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0A9CE1EB" w14:textId="77777777" w:rsidR="007B300A" w:rsidRPr="007B300A" w:rsidRDefault="007B300A" w:rsidP="001F55B7">
            <w:r w:rsidRPr="007B300A">
              <w:t>Belgický frank</w:t>
            </w:r>
          </w:p>
        </w:tc>
        <w:tc>
          <w:tcPr>
            <w:tcW w:w="1091" w:type="dxa"/>
          </w:tcPr>
          <w:p w14:paraId="3F939AF6"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BEF</w:t>
            </w:r>
          </w:p>
        </w:tc>
        <w:tc>
          <w:tcPr>
            <w:tcW w:w="4951" w:type="dxa"/>
          </w:tcPr>
          <w:p w14:paraId="1CAC97C0"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40,3399</w:t>
            </w:r>
          </w:p>
        </w:tc>
      </w:tr>
      <w:tr w:rsidR="007B300A" w:rsidRPr="007B300A" w14:paraId="476AA1DF"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3BC627F7" w14:textId="77777777" w:rsidR="007B300A" w:rsidRPr="007B300A" w:rsidRDefault="007B300A" w:rsidP="001F55B7">
            <w:r w:rsidRPr="007B300A">
              <w:t>Estonská koruna</w:t>
            </w:r>
          </w:p>
        </w:tc>
        <w:tc>
          <w:tcPr>
            <w:tcW w:w="1091" w:type="dxa"/>
          </w:tcPr>
          <w:p w14:paraId="3BF7F264"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EEK</w:t>
            </w:r>
          </w:p>
        </w:tc>
        <w:tc>
          <w:tcPr>
            <w:tcW w:w="4951" w:type="dxa"/>
          </w:tcPr>
          <w:p w14:paraId="321AC0FE"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15,6466</w:t>
            </w:r>
          </w:p>
        </w:tc>
      </w:tr>
      <w:tr w:rsidR="007B300A" w:rsidRPr="007B300A" w14:paraId="09DE50CA"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60D0BA6E" w14:textId="77777777" w:rsidR="007B300A" w:rsidRPr="007B300A" w:rsidRDefault="007B300A" w:rsidP="001F55B7">
            <w:r w:rsidRPr="007B300A">
              <w:t>Finská marka</w:t>
            </w:r>
          </w:p>
        </w:tc>
        <w:tc>
          <w:tcPr>
            <w:tcW w:w="1091" w:type="dxa"/>
          </w:tcPr>
          <w:p w14:paraId="428D06AC"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FIM</w:t>
            </w:r>
          </w:p>
        </w:tc>
        <w:tc>
          <w:tcPr>
            <w:tcW w:w="4951" w:type="dxa"/>
          </w:tcPr>
          <w:p w14:paraId="3745BFDD"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5,94573</w:t>
            </w:r>
          </w:p>
        </w:tc>
      </w:tr>
      <w:tr w:rsidR="007B300A" w:rsidRPr="007B300A" w14:paraId="06D27AE8"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30CDFE25" w14:textId="77777777" w:rsidR="007B300A" w:rsidRPr="007B300A" w:rsidRDefault="007B300A" w:rsidP="001F55B7">
            <w:r w:rsidRPr="007B300A">
              <w:t>Francouzský frank</w:t>
            </w:r>
          </w:p>
        </w:tc>
        <w:tc>
          <w:tcPr>
            <w:tcW w:w="1091" w:type="dxa"/>
          </w:tcPr>
          <w:p w14:paraId="699BA416"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FRF</w:t>
            </w:r>
          </w:p>
        </w:tc>
        <w:tc>
          <w:tcPr>
            <w:tcW w:w="4951" w:type="dxa"/>
          </w:tcPr>
          <w:p w14:paraId="12F2C73F"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6,55957</w:t>
            </w:r>
          </w:p>
        </w:tc>
      </w:tr>
      <w:tr w:rsidR="007B300A" w:rsidRPr="007B300A" w14:paraId="2BD13373"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3C1C08A" w14:textId="77777777" w:rsidR="007B300A" w:rsidRPr="007B300A" w:rsidRDefault="007B300A" w:rsidP="001F55B7">
            <w:r w:rsidRPr="007B300A">
              <w:t>Irská libra</w:t>
            </w:r>
          </w:p>
        </w:tc>
        <w:tc>
          <w:tcPr>
            <w:tcW w:w="1091" w:type="dxa"/>
          </w:tcPr>
          <w:p w14:paraId="4B04590E"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IEP</w:t>
            </w:r>
          </w:p>
        </w:tc>
        <w:tc>
          <w:tcPr>
            <w:tcW w:w="4951" w:type="dxa"/>
          </w:tcPr>
          <w:p w14:paraId="00D94FA6"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0,787564</w:t>
            </w:r>
          </w:p>
        </w:tc>
      </w:tr>
      <w:tr w:rsidR="007B300A" w:rsidRPr="007B300A" w14:paraId="07C900F6"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13AF99B3" w14:textId="77777777" w:rsidR="007B300A" w:rsidRPr="007B300A" w:rsidRDefault="007B300A" w:rsidP="001F55B7">
            <w:r w:rsidRPr="007B300A">
              <w:t>Italská lira</w:t>
            </w:r>
          </w:p>
        </w:tc>
        <w:tc>
          <w:tcPr>
            <w:tcW w:w="1091" w:type="dxa"/>
          </w:tcPr>
          <w:p w14:paraId="52A81B9D"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ITL</w:t>
            </w:r>
          </w:p>
        </w:tc>
        <w:tc>
          <w:tcPr>
            <w:tcW w:w="4951" w:type="dxa"/>
          </w:tcPr>
          <w:p w14:paraId="16384558"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1936,27</w:t>
            </w:r>
          </w:p>
        </w:tc>
      </w:tr>
      <w:tr w:rsidR="007B300A" w:rsidRPr="007B300A" w14:paraId="1FEA3C65"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4536957D" w14:textId="77777777" w:rsidR="007B300A" w:rsidRPr="007B300A" w:rsidRDefault="007B300A" w:rsidP="001F55B7">
            <w:r w:rsidRPr="007B300A">
              <w:t>Kyperská libra</w:t>
            </w:r>
          </w:p>
        </w:tc>
        <w:tc>
          <w:tcPr>
            <w:tcW w:w="1091" w:type="dxa"/>
          </w:tcPr>
          <w:p w14:paraId="5A11B81F"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CYP</w:t>
            </w:r>
          </w:p>
        </w:tc>
        <w:tc>
          <w:tcPr>
            <w:tcW w:w="4951" w:type="dxa"/>
          </w:tcPr>
          <w:p w14:paraId="74D163B0"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0,585274</w:t>
            </w:r>
          </w:p>
        </w:tc>
      </w:tr>
      <w:tr w:rsidR="007B300A" w:rsidRPr="007B300A" w14:paraId="1686F882"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781BA011" w14:textId="77777777" w:rsidR="007B300A" w:rsidRPr="007B300A" w:rsidRDefault="007B300A" w:rsidP="001F55B7">
            <w:r w:rsidRPr="007B300A">
              <w:t>Lucemburský frank</w:t>
            </w:r>
          </w:p>
        </w:tc>
        <w:tc>
          <w:tcPr>
            <w:tcW w:w="1091" w:type="dxa"/>
          </w:tcPr>
          <w:p w14:paraId="56D8A0EA"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LUF</w:t>
            </w:r>
          </w:p>
        </w:tc>
        <w:tc>
          <w:tcPr>
            <w:tcW w:w="4951" w:type="dxa"/>
          </w:tcPr>
          <w:p w14:paraId="4FA20AD9"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40,3399</w:t>
            </w:r>
          </w:p>
        </w:tc>
      </w:tr>
      <w:tr w:rsidR="007B300A" w:rsidRPr="007B300A" w14:paraId="0ED55BE7"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2F84640" w14:textId="77777777" w:rsidR="007B300A" w:rsidRPr="007B300A" w:rsidRDefault="007B300A" w:rsidP="001F55B7">
            <w:r w:rsidRPr="007B300A">
              <w:t>Maltská lira</w:t>
            </w:r>
          </w:p>
        </w:tc>
        <w:tc>
          <w:tcPr>
            <w:tcW w:w="1091" w:type="dxa"/>
          </w:tcPr>
          <w:p w14:paraId="19ABF9D7"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MTL</w:t>
            </w:r>
          </w:p>
        </w:tc>
        <w:tc>
          <w:tcPr>
            <w:tcW w:w="4951" w:type="dxa"/>
          </w:tcPr>
          <w:p w14:paraId="759C78DB"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0,429300</w:t>
            </w:r>
          </w:p>
        </w:tc>
      </w:tr>
      <w:tr w:rsidR="007B300A" w:rsidRPr="007B300A" w14:paraId="385A190A"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2A336797" w14:textId="77777777" w:rsidR="007B300A" w:rsidRPr="007B300A" w:rsidRDefault="007B300A" w:rsidP="001F55B7">
            <w:r w:rsidRPr="007B300A">
              <w:t>Německá marka</w:t>
            </w:r>
          </w:p>
        </w:tc>
        <w:tc>
          <w:tcPr>
            <w:tcW w:w="1091" w:type="dxa"/>
          </w:tcPr>
          <w:p w14:paraId="1119C7F3"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DEM</w:t>
            </w:r>
          </w:p>
        </w:tc>
        <w:tc>
          <w:tcPr>
            <w:tcW w:w="4951" w:type="dxa"/>
          </w:tcPr>
          <w:p w14:paraId="251882AE"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1,95583</w:t>
            </w:r>
          </w:p>
        </w:tc>
      </w:tr>
      <w:tr w:rsidR="007B300A" w:rsidRPr="007B300A" w14:paraId="304CD920"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737F6793" w14:textId="77777777" w:rsidR="007B300A" w:rsidRPr="007B300A" w:rsidRDefault="007B300A" w:rsidP="001F55B7">
            <w:r w:rsidRPr="007B300A">
              <w:t>Nizozemský gulden</w:t>
            </w:r>
          </w:p>
        </w:tc>
        <w:tc>
          <w:tcPr>
            <w:tcW w:w="1091" w:type="dxa"/>
          </w:tcPr>
          <w:p w14:paraId="79B57586"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NLG</w:t>
            </w:r>
          </w:p>
        </w:tc>
        <w:tc>
          <w:tcPr>
            <w:tcW w:w="4951" w:type="dxa"/>
          </w:tcPr>
          <w:p w14:paraId="416A9116"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2,20371</w:t>
            </w:r>
          </w:p>
        </w:tc>
      </w:tr>
      <w:tr w:rsidR="007B300A" w:rsidRPr="007B300A" w14:paraId="61C6CC96"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0F327C31" w14:textId="77777777" w:rsidR="007B300A" w:rsidRPr="007B300A" w:rsidRDefault="007B300A" w:rsidP="001F55B7">
            <w:r w:rsidRPr="007B300A">
              <w:t>Portugalské escudo</w:t>
            </w:r>
          </w:p>
        </w:tc>
        <w:tc>
          <w:tcPr>
            <w:tcW w:w="1091" w:type="dxa"/>
          </w:tcPr>
          <w:p w14:paraId="1ED315EE"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PTE</w:t>
            </w:r>
          </w:p>
        </w:tc>
        <w:tc>
          <w:tcPr>
            <w:tcW w:w="4951" w:type="dxa"/>
          </w:tcPr>
          <w:p w14:paraId="22FD12CB"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200,482</w:t>
            </w:r>
          </w:p>
        </w:tc>
      </w:tr>
      <w:tr w:rsidR="007B300A" w:rsidRPr="007B300A" w14:paraId="35C77B66"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22A38457" w14:textId="77777777" w:rsidR="007B300A" w:rsidRPr="007B300A" w:rsidRDefault="007B300A" w:rsidP="001F55B7">
            <w:r w:rsidRPr="007B300A">
              <w:t>Rakouský šilink</w:t>
            </w:r>
          </w:p>
        </w:tc>
        <w:tc>
          <w:tcPr>
            <w:tcW w:w="1091" w:type="dxa"/>
          </w:tcPr>
          <w:p w14:paraId="7618BC05"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ATS</w:t>
            </w:r>
          </w:p>
        </w:tc>
        <w:tc>
          <w:tcPr>
            <w:tcW w:w="4951" w:type="dxa"/>
          </w:tcPr>
          <w:p w14:paraId="2DF1F16C"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13,7603</w:t>
            </w:r>
          </w:p>
        </w:tc>
      </w:tr>
      <w:tr w:rsidR="007B300A" w:rsidRPr="007B300A" w14:paraId="31DBF9D9"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40D5D69D" w14:textId="77777777" w:rsidR="007B300A" w:rsidRPr="007B300A" w:rsidRDefault="007B300A" w:rsidP="001F55B7">
            <w:r w:rsidRPr="007B300A">
              <w:t>Řecká drachma</w:t>
            </w:r>
          </w:p>
        </w:tc>
        <w:tc>
          <w:tcPr>
            <w:tcW w:w="1091" w:type="dxa"/>
          </w:tcPr>
          <w:p w14:paraId="669727B7"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GRD</w:t>
            </w:r>
          </w:p>
        </w:tc>
        <w:tc>
          <w:tcPr>
            <w:tcW w:w="4951" w:type="dxa"/>
          </w:tcPr>
          <w:p w14:paraId="4FDB79C9"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340,750</w:t>
            </w:r>
          </w:p>
        </w:tc>
      </w:tr>
      <w:tr w:rsidR="007B300A" w:rsidRPr="007B300A" w14:paraId="3F9B9E59"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F0CCDE6" w14:textId="77777777" w:rsidR="007B300A" w:rsidRPr="007B300A" w:rsidRDefault="007B300A" w:rsidP="001F55B7">
            <w:r w:rsidRPr="007B300A">
              <w:t>Slovenská koruna</w:t>
            </w:r>
          </w:p>
        </w:tc>
        <w:tc>
          <w:tcPr>
            <w:tcW w:w="1091" w:type="dxa"/>
          </w:tcPr>
          <w:p w14:paraId="0943E91E"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SKK</w:t>
            </w:r>
          </w:p>
        </w:tc>
        <w:tc>
          <w:tcPr>
            <w:tcW w:w="4951" w:type="dxa"/>
          </w:tcPr>
          <w:p w14:paraId="0D52E158"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30,1260</w:t>
            </w:r>
          </w:p>
        </w:tc>
      </w:tr>
      <w:tr w:rsidR="007B300A" w:rsidRPr="007B300A" w14:paraId="69989B6F" w14:textId="77777777" w:rsidTr="007B300A">
        <w:tc>
          <w:tcPr>
            <w:cnfStyle w:val="001000000000" w:firstRow="0" w:lastRow="0" w:firstColumn="1" w:lastColumn="0" w:oddVBand="0" w:evenVBand="0" w:oddHBand="0" w:evenHBand="0" w:firstRowFirstColumn="0" w:firstRowLastColumn="0" w:lastRowFirstColumn="0" w:lastRowLastColumn="0"/>
            <w:tcW w:w="3020" w:type="dxa"/>
          </w:tcPr>
          <w:p w14:paraId="50168AB5" w14:textId="77777777" w:rsidR="007B300A" w:rsidRPr="007B300A" w:rsidRDefault="007B300A" w:rsidP="001F55B7">
            <w:r w:rsidRPr="007B300A">
              <w:t>Slovinský tolar</w:t>
            </w:r>
          </w:p>
        </w:tc>
        <w:tc>
          <w:tcPr>
            <w:tcW w:w="1091" w:type="dxa"/>
          </w:tcPr>
          <w:p w14:paraId="0BD41B72"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SIT</w:t>
            </w:r>
          </w:p>
        </w:tc>
        <w:tc>
          <w:tcPr>
            <w:tcW w:w="4951" w:type="dxa"/>
          </w:tcPr>
          <w:p w14:paraId="632DA826" w14:textId="77777777" w:rsidR="007B300A" w:rsidRPr="007B300A" w:rsidRDefault="007B300A" w:rsidP="001F55B7">
            <w:pPr>
              <w:cnfStyle w:val="000000000000" w:firstRow="0" w:lastRow="0" w:firstColumn="0" w:lastColumn="0" w:oddVBand="0" w:evenVBand="0" w:oddHBand="0" w:evenHBand="0" w:firstRowFirstColumn="0" w:firstRowLastColumn="0" w:lastRowFirstColumn="0" w:lastRowLastColumn="0"/>
            </w:pPr>
            <w:r w:rsidRPr="007B300A">
              <w:t>239,640</w:t>
            </w:r>
          </w:p>
        </w:tc>
      </w:tr>
      <w:tr w:rsidR="007B300A" w14:paraId="29C3B9C8" w14:textId="77777777" w:rsidTr="007B30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1E8FE52A" w14:textId="77777777" w:rsidR="007B300A" w:rsidRPr="007B300A" w:rsidRDefault="007B300A" w:rsidP="001F55B7">
            <w:r w:rsidRPr="007B300A">
              <w:t>Španělská peseta</w:t>
            </w:r>
          </w:p>
        </w:tc>
        <w:tc>
          <w:tcPr>
            <w:tcW w:w="1091" w:type="dxa"/>
          </w:tcPr>
          <w:p w14:paraId="11574F0F" w14:textId="77777777" w:rsidR="007B300A" w:rsidRPr="007B300A" w:rsidRDefault="007B300A" w:rsidP="001F55B7">
            <w:pPr>
              <w:cnfStyle w:val="000000100000" w:firstRow="0" w:lastRow="0" w:firstColumn="0" w:lastColumn="0" w:oddVBand="0" w:evenVBand="0" w:oddHBand="1" w:evenHBand="0" w:firstRowFirstColumn="0" w:firstRowLastColumn="0" w:lastRowFirstColumn="0" w:lastRowLastColumn="0"/>
            </w:pPr>
            <w:r w:rsidRPr="007B300A">
              <w:t>ESP</w:t>
            </w:r>
          </w:p>
        </w:tc>
        <w:tc>
          <w:tcPr>
            <w:tcW w:w="4951" w:type="dxa"/>
          </w:tcPr>
          <w:p w14:paraId="5D809AE9" w14:textId="77777777" w:rsidR="007B300A" w:rsidRDefault="007B300A" w:rsidP="007B300A">
            <w:pPr>
              <w:keepNext/>
              <w:cnfStyle w:val="000000100000" w:firstRow="0" w:lastRow="0" w:firstColumn="0" w:lastColumn="0" w:oddVBand="0" w:evenVBand="0" w:oddHBand="1" w:evenHBand="0" w:firstRowFirstColumn="0" w:firstRowLastColumn="0" w:lastRowFirstColumn="0" w:lastRowLastColumn="0"/>
            </w:pPr>
            <w:r w:rsidRPr="007B300A">
              <w:t>166,386</w:t>
            </w:r>
          </w:p>
        </w:tc>
      </w:tr>
    </w:tbl>
    <w:p w14:paraId="5D018AD1" w14:textId="161CD93B" w:rsidR="004539EB" w:rsidRDefault="007B300A" w:rsidP="007B300A">
      <w:pPr>
        <w:pStyle w:val="Titulek"/>
      </w:pPr>
      <w:r>
        <w:t xml:space="preserve">Tabulka </w:t>
      </w:r>
      <w:r>
        <w:fldChar w:fldCharType="begin"/>
      </w:r>
      <w:r>
        <w:instrText xml:space="preserve"> SEQ Tabulka \* ARABIC </w:instrText>
      </w:r>
      <w:r>
        <w:fldChar w:fldCharType="separate"/>
      </w:r>
      <w:r>
        <w:rPr>
          <w:noProof/>
        </w:rPr>
        <w:t>1</w:t>
      </w:r>
      <w:r>
        <w:fldChar w:fldCharType="end"/>
      </w:r>
      <w:r>
        <w:t xml:space="preserve">: </w:t>
      </w:r>
      <w:r w:rsidRPr="00CB7C15">
        <w:t>Přepočítací koeficienty bývalých národních měn členů eurozóny k euru</w:t>
      </w:r>
    </w:p>
    <w:p w14:paraId="2B63BF33" w14:textId="77777777" w:rsidR="004539EB" w:rsidRPr="0016087B" w:rsidRDefault="004539EB" w:rsidP="007B300A">
      <w:pPr>
        <w:pStyle w:val="Nadpis1"/>
      </w:pPr>
      <w:r w:rsidRPr="0016087B">
        <w:t>Jazykové otázky</w:t>
      </w:r>
    </w:p>
    <w:p w14:paraId="2CAACFAF" w14:textId="77777777" w:rsidR="004539EB" w:rsidRDefault="004539EB" w:rsidP="004539EB">
      <w:r>
        <w:t>Podle evropských předpisů se v nominativu jednotného čísla ve všech úředních nebo státních jazycích zemí EU užívá tvar euro. V ostatních případech používání názvu euro plně podléhá pravidlům úředních nebo státních jazyků členských států EU. V rámci celé Evropské unie se používají tři různá písma – latinka, cyrilice a řecké písmo. Název společné měny států eurozóny v jednotlivých písmech má následující podobu.</w:t>
      </w:r>
    </w:p>
    <w:tbl>
      <w:tblPr>
        <w:tblStyle w:val="Mkatabulky"/>
        <w:tblW w:w="9067" w:type="dxa"/>
        <w:tblLook w:val="04A0" w:firstRow="1" w:lastRow="0" w:firstColumn="1" w:lastColumn="0" w:noHBand="0" w:noVBand="1"/>
      </w:tblPr>
      <w:tblGrid>
        <w:gridCol w:w="1511"/>
        <w:gridCol w:w="1511"/>
        <w:gridCol w:w="1511"/>
        <w:gridCol w:w="1511"/>
        <w:gridCol w:w="1511"/>
        <w:gridCol w:w="1512"/>
      </w:tblGrid>
      <w:tr w:rsidR="007B300A" w:rsidRPr="007B300A" w14:paraId="2818B56F" w14:textId="77777777" w:rsidTr="007B300A">
        <w:trPr>
          <w:trHeight w:val="540"/>
        </w:trPr>
        <w:tc>
          <w:tcPr>
            <w:tcW w:w="3022" w:type="dxa"/>
            <w:gridSpan w:val="2"/>
            <w:shd w:val="clear" w:color="auto" w:fill="0D0D0D" w:themeFill="text1" w:themeFillTint="F2"/>
            <w:vAlign w:val="center"/>
          </w:tcPr>
          <w:p w14:paraId="1EFFD223" w14:textId="5D9200A4" w:rsidR="007B300A" w:rsidRPr="007B300A" w:rsidRDefault="007B300A" w:rsidP="007B300A">
            <w:pPr>
              <w:jc w:val="center"/>
              <w:rPr>
                <w:i/>
                <w:iCs/>
              </w:rPr>
            </w:pPr>
            <w:r w:rsidRPr="007B300A">
              <w:rPr>
                <w:i/>
                <w:iCs/>
              </w:rPr>
              <w:t>Latinka</w:t>
            </w:r>
          </w:p>
        </w:tc>
        <w:tc>
          <w:tcPr>
            <w:tcW w:w="3022" w:type="dxa"/>
            <w:gridSpan w:val="2"/>
            <w:shd w:val="clear" w:color="auto" w:fill="0D0D0D" w:themeFill="text1" w:themeFillTint="F2"/>
            <w:vAlign w:val="center"/>
          </w:tcPr>
          <w:p w14:paraId="7D6255DB" w14:textId="44285673" w:rsidR="007B300A" w:rsidRPr="007B300A" w:rsidRDefault="007B300A" w:rsidP="007B300A">
            <w:pPr>
              <w:jc w:val="center"/>
              <w:rPr>
                <w:i/>
                <w:iCs/>
              </w:rPr>
            </w:pPr>
            <w:r w:rsidRPr="007B300A">
              <w:rPr>
                <w:i/>
                <w:iCs/>
              </w:rPr>
              <w:t>Řecké písmo</w:t>
            </w:r>
          </w:p>
        </w:tc>
        <w:tc>
          <w:tcPr>
            <w:tcW w:w="3023" w:type="dxa"/>
            <w:gridSpan w:val="2"/>
            <w:shd w:val="clear" w:color="auto" w:fill="0D0D0D" w:themeFill="text1" w:themeFillTint="F2"/>
            <w:vAlign w:val="center"/>
          </w:tcPr>
          <w:p w14:paraId="3F93C019" w14:textId="5450EC4C" w:rsidR="007B300A" w:rsidRPr="007B300A" w:rsidRDefault="007B300A" w:rsidP="007B300A">
            <w:pPr>
              <w:jc w:val="center"/>
              <w:rPr>
                <w:i/>
                <w:iCs/>
              </w:rPr>
            </w:pPr>
            <w:r w:rsidRPr="007B300A">
              <w:rPr>
                <w:i/>
                <w:iCs/>
              </w:rPr>
              <w:t>Cyrilice</w:t>
            </w:r>
          </w:p>
        </w:tc>
      </w:tr>
      <w:tr w:rsidR="007B300A" w:rsidRPr="007B300A" w14:paraId="5A5DC5DD" w14:textId="77777777" w:rsidTr="007B300A">
        <w:tc>
          <w:tcPr>
            <w:tcW w:w="1511" w:type="dxa"/>
          </w:tcPr>
          <w:p w14:paraId="56F518F9" w14:textId="77777777" w:rsidR="007B300A" w:rsidRPr="007B300A" w:rsidRDefault="007B300A" w:rsidP="007B300A">
            <w:r w:rsidRPr="007B300A">
              <w:t>EURO</w:t>
            </w:r>
          </w:p>
        </w:tc>
        <w:tc>
          <w:tcPr>
            <w:tcW w:w="1511" w:type="dxa"/>
          </w:tcPr>
          <w:p w14:paraId="13CBE466" w14:textId="77777777" w:rsidR="007B300A" w:rsidRPr="007B300A" w:rsidRDefault="007B300A" w:rsidP="007B300A">
            <w:r w:rsidRPr="007B300A">
              <w:t>CENT</w:t>
            </w:r>
          </w:p>
        </w:tc>
        <w:tc>
          <w:tcPr>
            <w:tcW w:w="1511" w:type="dxa"/>
          </w:tcPr>
          <w:p w14:paraId="1005CBAA" w14:textId="4FD09FF7" w:rsidR="007B300A" w:rsidRPr="007B300A" w:rsidRDefault="007B300A" w:rsidP="007B300A">
            <w:r w:rsidRPr="007B300A">
              <w:t>ΕΥΡΩ</w:t>
            </w:r>
          </w:p>
        </w:tc>
        <w:tc>
          <w:tcPr>
            <w:tcW w:w="1511" w:type="dxa"/>
          </w:tcPr>
          <w:p w14:paraId="4962EB7C" w14:textId="1195B0D5" w:rsidR="007B300A" w:rsidRPr="007B300A" w:rsidRDefault="007B300A" w:rsidP="007B300A">
            <w:r w:rsidRPr="007B300A">
              <w:t>ΛΕΠΤΟ</w:t>
            </w:r>
          </w:p>
        </w:tc>
        <w:tc>
          <w:tcPr>
            <w:tcW w:w="1511" w:type="dxa"/>
          </w:tcPr>
          <w:p w14:paraId="72F0CCC2" w14:textId="36AD96A6" w:rsidR="007B300A" w:rsidRPr="007B300A" w:rsidRDefault="007B300A" w:rsidP="007B300A">
            <w:r w:rsidRPr="007B300A">
              <w:t>EBPO</w:t>
            </w:r>
          </w:p>
        </w:tc>
        <w:tc>
          <w:tcPr>
            <w:tcW w:w="1512" w:type="dxa"/>
          </w:tcPr>
          <w:p w14:paraId="1AEC3114" w14:textId="3C792BC8" w:rsidR="007B300A" w:rsidRPr="007B300A" w:rsidRDefault="007B300A" w:rsidP="007B300A">
            <w:r w:rsidRPr="007B300A">
              <w:t>ЦЕНТ</w:t>
            </w:r>
          </w:p>
        </w:tc>
      </w:tr>
      <w:tr w:rsidR="007B300A" w:rsidRPr="007B300A" w14:paraId="5828B817" w14:textId="77777777" w:rsidTr="007B300A">
        <w:tc>
          <w:tcPr>
            <w:tcW w:w="1511" w:type="dxa"/>
          </w:tcPr>
          <w:p w14:paraId="5A7C8587" w14:textId="77777777" w:rsidR="007B300A" w:rsidRPr="007B300A" w:rsidRDefault="007B300A" w:rsidP="007B300A">
            <w:r w:rsidRPr="007B300A">
              <w:t>Euro</w:t>
            </w:r>
          </w:p>
        </w:tc>
        <w:tc>
          <w:tcPr>
            <w:tcW w:w="1511" w:type="dxa"/>
          </w:tcPr>
          <w:p w14:paraId="761B6880" w14:textId="77777777" w:rsidR="007B300A" w:rsidRPr="007B300A" w:rsidRDefault="007B300A" w:rsidP="007B300A">
            <w:r w:rsidRPr="007B300A">
              <w:t>Cent</w:t>
            </w:r>
          </w:p>
        </w:tc>
        <w:tc>
          <w:tcPr>
            <w:tcW w:w="1511" w:type="dxa"/>
          </w:tcPr>
          <w:p w14:paraId="1484FC40" w14:textId="77777777" w:rsidR="007B300A" w:rsidRPr="007B300A" w:rsidRDefault="007B300A" w:rsidP="007B300A">
            <w:proofErr w:type="spellStart"/>
            <w:r w:rsidRPr="007B300A">
              <w:t>Ευρώ</w:t>
            </w:r>
            <w:proofErr w:type="spellEnd"/>
          </w:p>
        </w:tc>
        <w:tc>
          <w:tcPr>
            <w:tcW w:w="1511" w:type="dxa"/>
          </w:tcPr>
          <w:p w14:paraId="4CCDDF91" w14:textId="77777777" w:rsidR="007B300A" w:rsidRPr="007B300A" w:rsidRDefault="007B300A" w:rsidP="007B300A">
            <w:proofErr w:type="spellStart"/>
            <w:r w:rsidRPr="007B300A">
              <w:t>Λε</w:t>
            </w:r>
            <w:proofErr w:type="spellEnd"/>
            <w:r w:rsidRPr="007B300A">
              <w:t>πτό</w:t>
            </w:r>
          </w:p>
        </w:tc>
        <w:tc>
          <w:tcPr>
            <w:tcW w:w="1511" w:type="dxa"/>
          </w:tcPr>
          <w:p w14:paraId="11069FFC" w14:textId="77777777" w:rsidR="007B300A" w:rsidRPr="007B300A" w:rsidRDefault="007B300A" w:rsidP="007B300A">
            <w:proofErr w:type="spellStart"/>
            <w:r w:rsidRPr="007B300A">
              <w:t>Евро</w:t>
            </w:r>
            <w:proofErr w:type="spellEnd"/>
          </w:p>
        </w:tc>
        <w:tc>
          <w:tcPr>
            <w:tcW w:w="1512" w:type="dxa"/>
          </w:tcPr>
          <w:p w14:paraId="46344603" w14:textId="77777777" w:rsidR="007B300A" w:rsidRPr="007B300A" w:rsidRDefault="007B300A" w:rsidP="007B300A">
            <w:proofErr w:type="spellStart"/>
            <w:r w:rsidRPr="007B300A">
              <w:t>Цент</w:t>
            </w:r>
            <w:proofErr w:type="spellEnd"/>
          </w:p>
        </w:tc>
      </w:tr>
      <w:tr w:rsidR="007B300A" w:rsidRPr="007B300A" w14:paraId="09586939" w14:textId="77777777" w:rsidTr="007B300A">
        <w:tc>
          <w:tcPr>
            <w:tcW w:w="1511" w:type="dxa"/>
          </w:tcPr>
          <w:p w14:paraId="2D2B2E29" w14:textId="77777777" w:rsidR="007B300A" w:rsidRPr="007B300A" w:rsidRDefault="007B300A" w:rsidP="007B300A">
            <w:r w:rsidRPr="007B300A">
              <w:t>euro</w:t>
            </w:r>
          </w:p>
        </w:tc>
        <w:tc>
          <w:tcPr>
            <w:tcW w:w="1511" w:type="dxa"/>
          </w:tcPr>
          <w:p w14:paraId="6C96B2A2" w14:textId="77777777" w:rsidR="007B300A" w:rsidRPr="007B300A" w:rsidRDefault="007B300A" w:rsidP="007B300A">
            <w:r w:rsidRPr="007B300A">
              <w:t>cent</w:t>
            </w:r>
          </w:p>
        </w:tc>
        <w:tc>
          <w:tcPr>
            <w:tcW w:w="1511" w:type="dxa"/>
          </w:tcPr>
          <w:p w14:paraId="6C4FE596" w14:textId="77777777" w:rsidR="007B300A" w:rsidRPr="007B300A" w:rsidRDefault="007B300A" w:rsidP="007B300A">
            <w:proofErr w:type="spellStart"/>
            <w:r w:rsidRPr="007B300A">
              <w:t>ευρώ</w:t>
            </w:r>
            <w:proofErr w:type="spellEnd"/>
          </w:p>
        </w:tc>
        <w:tc>
          <w:tcPr>
            <w:tcW w:w="1511" w:type="dxa"/>
          </w:tcPr>
          <w:p w14:paraId="5027ABB2" w14:textId="77777777" w:rsidR="007B300A" w:rsidRPr="007B300A" w:rsidRDefault="007B300A" w:rsidP="007B300A">
            <w:proofErr w:type="spellStart"/>
            <w:r w:rsidRPr="007B300A">
              <w:t>λε</w:t>
            </w:r>
            <w:proofErr w:type="spellEnd"/>
            <w:r w:rsidRPr="007B300A">
              <w:t>πτό</w:t>
            </w:r>
          </w:p>
        </w:tc>
        <w:tc>
          <w:tcPr>
            <w:tcW w:w="1511" w:type="dxa"/>
          </w:tcPr>
          <w:p w14:paraId="1CF29D6A" w14:textId="77777777" w:rsidR="007B300A" w:rsidRPr="007B300A" w:rsidRDefault="007B300A" w:rsidP="007B300A">
            <w:proofErr w:type="spellStart"/>
            <w:r w:rsidRPr="007B300A">
              <w:t>евро</w:t>
            </w:r>
            <w:proofErr w:type="spellEnd"/>
          </w:p>
        </w:tc>
        <w:tc>
          <w:tcPr>
            <w:tcW w:w="1512" w:type="dxa"/>
          </w:tcPr>
          <w:p w14:paraId="228DA581" w14:textId="77777777" w:rsidR="007B300A" w:rsidRPr="007B300A" w:rsidRDefault="007B300A" w:rsidP="007B300A">
            <w:pPr>
              <w:keepNext/>
            </w:pPr>
            <w:proofErr w:type="spellStart"/>
            <w:r w:rsidRPr="007B300A">
              <w:t>цент</w:t>
            </w:r>
            <w:proofErr w:type="spellEnd"/>
          </w:p>
        </w:tc>
      </w:tr>
    </w:tbl>
    <w:p w14:paraId="6D12C362" w14:textId="6D57127C" w:rsidR="007B300A" w:rsidRDefault="007B300A">
      <w:pPr>
        <w:pStyle w:val="Titulek"/>
      </w:pPr>
      <w:r>
        <w:t xml:space="preserve">Tabulka </w:t>
      </w:r>
      <w:r>
        <w:fldChar w:fldCharType="begin"/>
      </w:r>
      <w:r>
        <w:instrText xml:space="preserve"> SEQ Tabulka \* ARABIC </w:instrText>
      </w:r>
      <w:r>
        <w:fldChar w:fldCharType="separate"/>
      </w:r>
      <w:r>
        <w:rPr>
          <w:noProof/>
        </w:rPr>
        <w:t>2</w:t>
      </w:r>
      <w:r>
        <w:fldChar w:fldCharType="end"/>
      </w:r>
      <w:r>
        <w:t>: Různé způsoby zápisu slova EURO</w:t>
      </w:r>
    </w:p>
    <w:p w14:paraId="4A0D4244" w14:textId="77777777" w:rsidR="004539EB" w:rsidRDefault="004539EB" w:rsidP="007B300A">
      <w:pPr>
        <w:pStyle w:val="Nadpis1"/>
      </w:pPr>
      <w:r>
        <w:t>Euro v českém jazyce</w:t>
      </w:r>
    </w:p>
    <w:p w14:paraId="79B40F41" w14:textId="77777777" w:rsidR="004539EB" w:rsidRDefault="004539EB" w:rsidP="004539EB">
      <w:r>
        <w:t>Z kodifikovaných pravidel českého jazyka plyne, že euro je slovo ohebné, středního rodu, skloňované standardně podle vzoru město. Cent (</w:t>
      </w:r>
      <w:proofErr w:type="spellStart"/>
      <w:r>
        <w:t>eurocent</w:t>
      </w:r>
      <w:proofErr w:type="spellEnd"/>
      <w:r>
        <w:t xml:space="preserve">) je slovo ohebné, mužského rodu a skloňuje se podle vzoru hrad. Psaná podoba názvu měny euro se odlišuje od psané podoby názvu kontinentu Evropa; kromě toho se předpona </w:t>
      </w:r>
      <w:proofErr w:type="gramStart"/>
      <w:r>
        <w:t>euro- standardně</w:t>
      </w:r>
      <w:proofErr w:type="gramEnd"/>
      <w:r>
        <w:t xml:space="preserve"> používá pro záležitosti spojené s EU (Evropskou unií).</w:t>
      </w:r>
    </w:p>
    <w:p w14:paraId="0BBA27AE" w14:textId="77777777" w:rsidR="004539EB" w:rsidRDefault="004539EB" w:rsidP="004539EB">
      <w:r>
        <w:t>Výslovnost psaných slov euro a cent v češtině je [eu.ro] a [cent].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4"/>
        <w:gridCol w:w="3024"/>
      </w:tblGrid>
      <w:tr w:rsidR="007B300A" w14:paraId="78A67493" w14:textId="77777777" w:rsidTr="007B300A">
        <w:tc>
          <w:tcPr>
            <w:tcW w:w="3020" w:type="dxa"/>
          </w:tcPr>
          <w:p w14:paraId="702308F7" w14:textId="6FA0690A" w:rsidR="007B300A" w:rsidRDefault="007B300A" w:rsidP="007B300A">
            <w:pPr>
              <w:keepNext/>
            </w:pPr>
            <w:r>
              <w:rPr>
                <w:noProof/>
              </w:rPr>
              <w:lastRenderedPageBreak/>
              <w:drawing>
                <wp:inline distT="0" distB="0" distL="0" distR="0" wp14:anchorId="26ABA174" wp14:editId="215DAB59">
                  <wp:extent cx="1800000" cy="1800000"/>
                  <wp:effectExtent l="0" t="0" r="0" b="0"/>
                  <wp:docPr id="2034387430"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p w14:paraId="30405DE4" w14:textId="61BB8FC4" w:rsidR="007B300A" w:rsidRDefault="007B300A" w:rsidP="007B300A">
            <w:pPr>
              <w:pStyle w:val="Titulek"/>
            </w:pPr>
            <w:r>
              <w:t xml:space="preserve">Obrázek </w:t>
            </w:r>
            <w:r>
              <w:fldChar w:fldCharType="begin"/>
            </w:r>
            <w:r>
              <w:instrText xml:space="preserve"> SEQ Obrázek \* ARABIC </w:instrText>
            </w:r>
            <w:r>
              <w:fldChar w:fldCharType="separate"/>
            </w:r>
            <w:r>
              <w:rPr>
                <w:noProof/>
              </w:rPr>
              <w:t>2</w:t>
            </w:r>
            <w:r>
              <w:fldChar w:fldCharType="end"/>
            </w:r>
            <w:r>
              <w:t xml:space="preserve">: </w:t>
            </w:r>
            <w:r w:rsidRPr="007B300A">
              <w:t>Itálie</w:t>
            </w:r>
          </w:p>
        </w:tc>
        <w:tc>
          <w:tcPr>
            <w:tcW w:w="3021" w:type="dxa"/>
          </w:tcPr>
          <w:p w14:paraId="42EE6CDF" w14:textId="7B99B73D" w:rsidR="007B300A" w:rsidRDefault="007B300A" w:rsidP="007B300A">
            <w:pPr>
              <w:keepNext/>
            </w:pPr>
            <w:r>
              <w:rPr>
                <w:noProof/>
              </w:rPr>
              <w:drawing>
                <wp:inline distT="0" distB="0" distL="0" distR="0" wp14:anchorId="53178AFB" wp14:editId="493BA7B5">
                  <wp:extent cx="1800000" cy="1800000"/>
                  <wp:effectExtent l="0" t="0" r="0" b="0"/>
                  <wp:docPr id="51752363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p w14:paraId="305EBADD" w14:textId="7023E660" w:rsidR="007B300A" w:rsidRDefault="007B300A" w:rsidP="007B300A">
            <w:pPr>
              <w:pStyle w:val="Titulek"/>
            </w:pPr>
            <w:r>
              <w:t xml:space="preserve">Obrázek </w:t>
            </w:r>
            <w:r>
              <w:fldChar w:fldCharType="begin"/>
            </w:r>
            <w:r>
              <w:instrText xml:space="preserve"> SEQ Obrázek \* ARABIC </w:instrText>
            </w:r>
            <w:r>
              <w:fldChar w:fldCharType="separate"/>
            </w:r>
            <w:r>
              <w:rPr>
                <w:noProof/>
              </w:rPr>
              <w:t>3</w:t>
            </w:r>
            <w:r>
              <w:fldChar w:fldCharType="end"/>
            </w:r>
            <w:r>
              <w:t>: Řecko</w:t>
            </w:r>
          </w:p>
        </w:tc>
        <w:tc>
          <w:tcPr>
            <w:tcW w:w="3021" w:type="dxa"/>
          </w:tcPr>
          <w:p w14:paraId="156C6522" w14:textId="77777777" w:rsidR="007B300A" w:rsidRDefault="007B300A" w:rsidP="007B300A">
            <w:pPr>
              <w:keepNext/>
            </w:pPr>
            <w:r>
              <w:rPr>
                <w:noProof/>
              </w:rPr>
              <w:drawing>
                <wp:inline distT="0" distB="0" distL="0" distR="0" wp14:anchorId="1FD8D98A" wp14:editId="2253F919">
                  <wp:extent cx="1800000" cy="1800000"/>
                  <wp:effectExtent l="0" t="0" r="0" b="0"/>
                  <wp:docPr id="1380540123"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p w14:paraId="3D336B41" w14:textId="36D02692" w:rsidR="007B300A" w:rsidRDefault="007B300A" w:rsidP="007B300A">
            <w:pPr>
              <w:pStyle w:val="Titulek"/>
            </w:pPr>
            <w:r>
              <w:t xml:space="preserve">Obrázek </w:t>
            </w:r>
            <w:r>
              <w:fldChar w:fldCharType="begin"/>
            </w:r>
            <w:r>
              <w:instrText xml:space="preserve"> SEQ Obrázek \* ARABIC </w:instrText>
            </w:r>
            <w:r>
              <w:fldChar w:fldCharType="separate"/>
            </w:r>
            <w:r>
              <w:rPr>
                <w:noProof/>
              </w:rPr>
              <w:t>4</w:t>
            </w:r>
            <w:r>
              <w:fldChar w:fldCharType="end"/>
            </w:r>
            <w:r>
              <w:t>: Slovensko</w:t>
            </w:r>
          </w:p>
        </w:tc>
      </w:tr>
    </w:tbl>
    <w:p w14:paraId="123FED97" w14:textId="77777777" w:rsidR="004539EB" w:rsidRPr="0016087B" w:rsidRDefault="004539EB" w:rsidP="007B300A">
      <w:pPr>
        <w:pStyle w:val="Nadpis1"/>
      </w:pPr>
      <w:r w:rsidRPr="0016087B">
        <w:t>Jiné snahy o „kontinentální měnu“</w:t>
      </w:r>
    </w:p>
    <w:p w14:paraId="398A7739" w14:textId="77777777" w:rsidR="004539EB" w:rsidRDefault="004539EB" w:rsidP="004539EB">
      <w:r>
        <w:t xml:space="preserve">Přibližně od roku 1999 začaly hovory o společné měnové unii mezi USA, Kanadou a Mexikem s perspektivou rozšíření na všechny státy Severní Ameriky. Tato instituce by měla nést jméno Severoamerická unie a její měna byla nazvána </w:t>
      </w:r>
      <w:proofErr w:type="spellStart"/>
      <w:r>
        <w:t>Amero</w:t>
      </w:r>
      <w:proofErr w:type="spellEnd"/>
      <w:r>
        <w:t xml:space="preserve"> (symbol: 1).</w:t>
      </w:r>
    </w:p>
    <w:p w14:paraId="100C967C" w14:textId="72FCF40D" w:rsidR="004539EB" w:rsidRDefault="004539EB" w:rsidP="004539EB">
      <w:r>
        <w:t>Společná měna Africké unie, založené roku 2001, je jedním z jejích cílů (i když ne tolik prioritním jako ostatní). Realita společné africké měny je zatím ještě několik let vzdálená. Jeden z návrhů na její jméno je Afro nebo SHEBA.</w:t>
      </w:r>
      <w:r w:rsidR="002C72E3">
        <w:fldChar w:fldCharType="begin"/>
      </w:r>
      <w:r w:rsidR="002C72E3">
        <w:instrText xml:space="preserve"> REF _Ref209090735 \r \h </w:instrText>
      </w:r>
      <w:r w:rsidR="002C72E3">
        <w:fldChar w:fldCharType="separate"/>
      </w:r>
      <w:r w:rsidR="002C72E3">
        <w:t>[1]</w:t>
      </w:r>
      <w:r w:rsidR="002C72E3">
        <w:fldChar w:fldCharType="end"/>
      </w:r>
      <w:r>
        <w:t xml:space="preserve"> V současné době vznikají snahy o regionální měnové unie částí afrického kontinentu. Kromě již existující měnové unie mezi 14 zeměmi střední a západní Afriky </w:t>
      </w:r>
      <w:proofErr w:type="spellStart"/>
      <w:r>
        <w:t>používajích</w:t>
      </w:r>
      <w:proofErr w:type="spellEnd"/>
      <w:r>
        <w:t xml:space="preserve"> CFA frank mají do konce roku 2010 vzniknout další dvě pětičlenné regionální měnové unie. Na východě Afriky má být zaveden východoafrický šilink, na západě kontinentu měna </w:t>
      </w:r>
      <w:proofErr w:type="spellStart"/>
      <w:r>
        <w:t>eco</w:t>
      </w:r>
      <w:proofErr w:type="spellEnd"/>
      <w:r>
        <w:t>.</w:t>
      </w:r>
    </w:p>
    <w:p w14:paraId="4DF5BF2E" w14:textId="5C9B549D" w:rsidR="004539EB" w:rsidRDefault="004539EB" w:rsidP="004539EB">
      <w:r>
        <w:t>V Asii je realita společné měny nejvzdálenější. Existuje Asijská měnová unie (ACU)</w:t>
      </w:r>
      <w:r w:rsidR="002C72E3">
        <w:fldChar w:fldCharType="begin"/>
      </w:r>
      <w:r w:rsidR="002C72E3">
        <w:instrText xml:space="preserve"> REF _Ref209090745 \r \h </w:instrText>
      </w:r>
      <w:r w:rsidR="002C72E3">
        <w:fldChar w:fldCharType="separate"/>
      </w:r>
      <w:r w:rsidR="002C72E3">
        <w:t>[2]</w:t>
      </w:r>
      <w:r w:rsidR="002C72E3">
        <w:fldChar w:fldCharType="end"/>
      </w:r>
      <w:r>
        <w:t>, stejně tak ale existuje již několik unií nebo uskupení, spojujících několik zemí určité části asijského světadílu (ASEAN, tzv. ASEAN+3, SAARC), z nichž nejvýznamnější je Jihoasijská unie (SAU). Budoucí společná asijská měna by se navíc potýkala s nevýhodami nerovnoměrně rozložené ekonomické síly států unie, zejména Číny a Japonska. Zdroje:</w:t>
      </w:r>
      <w:r w:rsidR="002C72E3">
        <w:fldChar w:fldCharType="begin"/>
      </w:r>
      <w:r w:rsidR="002C72E3">
        <w:instrText xml:space="preserve"> REF _Ref209090719 \r \h </w:instrText>
      </w:r>
      <w:r w:rsidR="002C72E3">
        <w:fldChar w:fldCharType="separate"/>
      </w:r>
      <w:r w:rsidR="002C72E3">
        <w:t>[3]</w:t>
      </w:r>
      <w:r w:rsidR="002C72E3">
        <w:fldChar w:fldCharType="end"/>
      </w:r>
      <w:r w:rsidR="002C72E3">
        <w:t>,</w:t>
      </w:r>
      <w:r w:rsidR="002C72E3">
        <w:fldChar w:fldCharType="begin"/>
      </w:r>
      <w:r w:rsidR="002C72E3">
        <w:instrText xml:space="preserve"> REF _Ref209090712 \r \h </w:instrText>
      </w:r>
      <w:r w:rsidR="002C72E3">
        <w:fldChar w:fldCharType="separate"/>
      </w:r>
      <w:r w:rsidR="002C72E3">
        <w:t>[5]</w:t>
      </w:r>
      <w:r w:rsidR="002C72E3">
        <w:fldChar w:fldCharType="end"/>
      </w:r>
      <w:r>
        <w:t>.</w:t>
      </w:r>
    </w:p>
    <w:p w14:paraId="0463D0CE" w14:textId="72CFB2A6" w:rsidR="004539EB" w:rsidRDefault="004539EB" w:rsidP="004539EB">
      <w:r>
        <w:t xml:space="preserve">Tento text bys převzat a upraven z </w:t>
      </w:r>
      <w:r w:rsidR="002C72E3">
        <w:fldChar w:fldCharType="begin"/>
      </w:r>
      <w:r w:rsidR="002C72E3">
        <w:instrText xml:space="preserve"> REF _Ref209090729 \r \h </w:instrText>
      </w:r>
      <w:r w:rsidR="002C72E3">
        <w:fldChar w:fldCharType="separate"/>
      </w:r>
      <w:r w:rsidR="002C72E3">
        <w:t>[6]</w:t>
      </w:r>
      <w:r w:rsidR="002C72E3">
        <w:fldChar w:fldCharType="end"/>
      </w:r>
      <w:r>
        <w:t xml:space="preserve"> pro účely procvičení a zkrácen.</w:t>
      </w:r>
    </w:p>
    <w:p w14:paraId="4308D9EF" w14:textId="77777777" w:rsidR="004539EB" w:rsidRPr="0016087B" w:rsidRDefault="004539EB" w:rsidP="007B300A">
      <w:pPr>
        <w:pStyle w:val="Nadpis1"/>
      </w:pPr>
      <w:r w:rsidRPr="0016087B">
        <w:t>Reference</w:t>
      </w:r>
    </w:p>
    <w:p w14:paraId="459D8A3A" w14:textId="77777777" w:rsidR="004539EB" w:rsidRDefault="004539EB" w:rsidP="002C72E3">
      <w:pPr>
        <w:pStyle w:val="Odstavecseseznamem"/>
        <w:numPr>
          <w:ilvl w:val="0"/>
          <w:numId w:val="3"/>
        </w:numPr>
        <w:ind w:left="426" w:hanging="426"/>
      </w:pPr>
      <w:bookmarkStart w:id="0" w:name="_Ref209090735"/>
      <w:r>
        <w:t>http://www.africanfront.com/sheba.php</w:t>
      </w:r>
      <w:bookmarkEnd w:id="0"/>
    </w:p>
    <w:p w14:paraId="47CCBC32" w14:textId="77777777" w:rsidR="004539EB" w:rsidRDefault="004539EB" w:rsidP="002C72E3">
      <w:pPr>
        <w:pStyle w:val="Odstavecseseznamem"/>
        <w:numPr>
          <w:ilvl w:val="0"/>
          <w:numId w:val="3"/>
        </w:numPr>
        <w:ind w:left="426" w:hanging="426"/>
      </w:pPr>
      <w:bookmarkStart w:id="1" w:name="_Ref209090745"/>
      <w:r>
        <w:t>http://english.chosun.com/w21data/html/news/200601/200601130018.html</w:t>
      </w:r>
      <w:bookmarkEnd w:id="1"/>
    </w:p>
    <w:p w14:paraId="145C9DF0" w14:textId="77777777" w:rsidR="004539EB" w:rsidRDefault="004539EB" w:rsidP="002C72E3">
      <w:pPr>
        <w:pStyle w:val="Odstavecseseznamem"/>
        <w:numPr>
          <w:ilvl w:val="0"/>
          <w:numId w:val="3"/>
        </w:numPr>
        <w:ind w:left="426" w:hanging="426"/>
      </w:pPr>
      <w:bookmarkStart w:id="2" w:name="_Ref209090719"/>
      <w:r>
        <w:t>http://www.southasiabiz.com/2006/05/asian_currency_unit_acu_what_a.html</w:t>
      </w:r>
      <w:bookmarkEnd w:id="2"/>
    </w:p>
    <w:p w14:paraId="4023B683" w14:textId="77777777" w:rsidR="004539EB" w:rsidRDefault="004539EB" w:rsidP="002C72E3">
      <w:pPr>
        <w:pStyle w:val="Odstavecseseznamem"/>
        <w:numPr>
          <w:ilvl w:val="0"/>
          <w:numId w:val="3"/>
        </w:numPr>
        <w:ind w:left="426" w:hanging="426"/>
      </w:pPr>
      <w:r>
        <w:t>http://www.bankresearch.org/economicpolicyblog/2006/01/single_asian_cu.html</w:t>
      </w:r>
    </w:p>
    <w:p w14:paraId="351D8D84" w14:textId="77777777" w:rsidR="004539EB" w:rsidRDefault="004539EB" w:rsidP="002C72E3">
      <w:pPr>
        <w:pStyle w:val="Odstavecseseznamem"/>
        <w:numPr>
          <w:ilvl w:val="0"/>
          <w:numId w:val="3"/>
        </w:numPr>
        <w:ind w:left="426" w:hanging="426"/>
      </w:pPr>
      <w:bookmarkStart w:id="3" w:name="_Ref209090712"/>
      <w:r>
        <w:t>http://post.economics.harvard.edu/faculty/barro/papers/OCApaper.pdf</w:t>
      </w:r>
      <w:bookmarkEnd w:id="3"/>
    </w:p>
    <w:p w14:paraId="49CAD732" w14:textId="77777777" w:rsidR="004539EB" w:rsidRDefault="004539EB" w:rsidP="002C72E3">
      <w:pPr>
        <w:pStyle w:val="Odstavecseseznamem"/>
        <w:numPr>
          <w:ilvl w:val="0"/>
          <w:numId w:val="3"/>
        </w:numPr>
        <w:ind w:left="426" w:hanging="426"/>
      </w:pPr>
      <w:bookmarkStart w:id="4" w:name="_Ref209090729"/>
      <w:r>
        <w:t>http://cs.wikipedia.org/wiki/Euro</w:t>
      </w:r>
      <w:bookmarkEnd w:id="4"/>
    </w:p>
    <w:p w14:paraId="7201B0A8" w14:textId="77777777" w:rsidR="006B6708" w:rsidRDefault="006B6708"/>
    <w:sectPr w:rsidR="006B67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5D0"/>
    <w:multiLevelType w:val="hybridMultilevel"/>
    <w:tmpl w:val="481855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A604602"/>
    <w:multiLevelType w:val="hybridMultilevel"/>
    <w:tmpl w:val="FC2E3C14"/>
    <w:lvl w:ilvl="0" w:tplc="D1B20FC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4066BA1"/>
    <w:multiLevelType w:val="hybridMultilevel"/>
    <w:tmpl w:val="E09414DA"/>
    <w:lvl w:ilvl="0" w:tplc="75FA9412">
      <w:numFmt w:val="bullet"/>
      <w:lvlText w:val="-"/>
      <w:lvlJc w:val="left"/>
      <w:pPr>
        <w:ind w:left="1065" w:hanging="705"/>
      </w:pPr>
      <w:rPr>
        <w:rFonts w:ascii="Aptos" w:eastAsiaTheme="minorHAnsi"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264220998">
    <w:abstractNumId w:val="0"/>
  </w:num>
  <w:num w:numId="2" w16cid:durableId="583563329">
    <w:abstractNumId w:val="2"/>
  </w:num>
  <w:num w:numId="3" w16cid:durableId="177281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9EB"/>
    <w:rsid w:val="0016087B"/>
    <w:rsid w:val="002C72E3"/>
    <w:rsid w:val="004539EB"/>
    <w:rsid w:val="006B6708"/>
    <w:rsid w:val="007671AF"/>
    <w:rsid w:val="007B300A"/>
    <w:rsid w:val="00830B69"/>
    <w:rsid w:val="00960F0D"/>
    <w:rsid w:val="00AF70FF"/>
    <w:rsid w:val="00FE76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B960A"/>
  <w15:chartTrackingRefBased/>
  <w15:docId w15:val="{06DABA59-8752-48DD-839E-EA8330572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B300A"/>
    <w:pPr>
      <w:jc w:val="both"/>
    </w:pPr>
    <w:rPr>
      <w:rFonts w:ascii="Times New Roman" w:hAnsi="Times New Roman"/>
    </w:rPr>
  </w:style>
  <w:style w:type="paragraph" w:styleId="Nadpis1">
    <w:name w:val="heading 1"/>
    <w:basedOn w:val="Normln"/>
    <w:next w:val="Normln"/>
    <w:link w:val="Nadpis1Char"/>
    <w:uiPriority w:val="9"/>
    <w:qFormat/>
    <w:rsid w:val="00453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539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539E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539E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539E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539E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539E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539E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539E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539E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539E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539E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539E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539E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539E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539E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539E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539EB"/>
    <w:rPr>
      <w:rFonts w:eastAsiaTheme="majorEastAsia" w:cstheme="majorBidi"/>
      <w:color w:val="272727" w:themeColor="text1" w:themeTint="D8"/>
    </w:rPr>
  </w:style>
  <w:style w:type="paragraph" w:styleId="Nzev">
    <w:name w:val="Title"/>
    <w:basedOn w:val="Normln"/>
    <w:next w:val="Normln"/>
    <w:link w:val="NzevChar"/>
    <w:uiPriority w:val="10"/>
    <w:qFormat/>
    <w:rsid w:val="00453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539E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539E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539E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539EB"/>
    <w:pPr>
      <w:spacing w:before="160"/>
      <w:jc w:val="center"/>
    </w:pPr>
    <w:rPr>
      <w:i/>
      <w:iCs/>
      <w:color w:val="404040" w:themeColor="text1" w:themeTint="BF"/>
    </w:rPr>
  </w:style>
  <w:style w:type="character" w:customStyle="1" w:styleId="CittChar">
    <w:name w:val="Citát Char"/>
    <w:basedOn w:val="Standardnpsmoodstavce"/>
    <w:link w:val="Citt"/>
    <w:uiPriority w:val="29"/>
    <w:rsid w:val="004539EB"/>
    <w:rPr>
      <w:i/>
      <w:iCs/>
      <w:color w:val="404040" w:themeColor="text1" w:themeTint="BF"/>
    </w:rPr>
  </w:style>
  <w:style w:type="paragraph" w:styleId="Odstavecseseznamem">
    <w:name w:val="List Paragraph"/>
    <w:basedOn w:val="Normln"/>
    <w:uiPriority w:val="34"/>
    <w:qFormat/>
    <w:rsid w:val="004539EB"/>
    <w:pPr>
      <w:ind w:left="720"/>
      <w:contextualSpacing/>
    </w:pPr>
  </w:style>
  <w:style w:type="character" w:styleId="Zdraznnintenzivn">
    <w:name w:val="Intense Emphasis"/>
    <w:basedOn w:val="Standardnpsmoodstavce"/>
    <w:uiPriority w:val="21"/>
    <w:qFormat/>
    <w:rsid w:val="004539EB"/>
    <w:rPr>
      <w:i/>
      <w:iCs/>
      <w:color w:val="0F4761" w:themeColor="accent1" w:themeShade="BF"/>
    </w:rPr>
  </w:style>
  <w:style w:type="paragraph" w:styleId="Vrazncitt">
    <w:name w:val="Intense Quote"/>
    <w:basedOn w:val="Normln"/>
    <w:next w:val="Normln"/>
    <w:link w:val="VrazncittChar"/>
    <w:uiPriority w:val="30"/>
    <w:qFormat/>
    <w:rsid w:val="004539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539EB"/>
    <w:rPr>
      <w:i/>
      <w:iCs/>
      <w:color w:val="0F4761" w:themeColor="accent1" w:themeShade="BF"/>
    </w:rPr>
  </w:style>
  <w:style w:type="character" w:styleId="Odkazintenzivn">
    <w:name w:val="Intense Reference"/>
    <w:basedOn w:val="Standardnpsmoodstavce"/>
    <w:uiPriority w:val="32"/>
    <w:qFormat/>
    <w:rsid w:val="004539EB"/>
    <w:rPr>
      <w:b/>
      <w:bCs/>
      <w:smallCaps/>
      <w:color w:val="0F4761" w:themeColor="accent1" w:themeShade="BF"/>
      <w:spacing w:val="5"/>
    </w:rPr>
  </w:style>
  <w:style w:type="table" w:styleId="Mkatabulky">
    <w:name w:val="Table Grid"/>
    <w:basedOn w:val="Normlntabulka"/>
    <w:uiPriority w:val="39"/>
    <w:rsid w:val="007B3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5">
    <w:name w:val="Plain Table 5"/>
    <w:basedOn w:val="Normlntabulka"/>
    <w:uiPriority w:val="45"/>
    <w:rsid w:val="007B300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itulek">
    <w:name w:val="caption"/>
    <w:basedOn w:val="Normln"/>
    <w:next w:val="Normln"/>
    <w:uiPriority w:val="35"/>
    <w:unhideWhenUsed/>
    <w:qFormat/>
    <w:rsid w:val="007B300A"/>
    <w:pPr>
      <w:spacing w:before="120" w:after="200" w:line="240" w:lineRule="auto"/>
      <w:jc w:val="center"/>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1071</Words>
  <Characters>6097</Characters>
  <Application>Microsoft Office Word</Application>
  <DocSecurity>0</DocSecurity>
  <Lines>183</Lines>
  <Paragraphs>130</Paragraphs>
  <ScaleCrop>false</ScaleCrop>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Varnušková</dc:creator>
  <cp:keywords/>
  <dc:description/>
  <cp:lastModifiedBy>Jana Varnušková</cp:lastModifiedBy>
  <cp:revision>4</cp:revision>
  <dcterms:created xsi:type="dcterms:W3CDTF">2025-09-18T10:10:00Z</dcterms:created>
  <dcterms:modified xsi:type="dcterms:W3CDTF">2025-09-18T10:25:00Z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c6767276-f609-467f-9e6a-d3f13953c40e</vt:lpwstr>
  </property>
</Properties>
</file>