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90F" w:rsidRPr="0051590F" w:rsidRDefault="0051590F" w:rsidP="0051590F">
      <w:pPr>
        <w:pStyle w:val="Nadpis2"/>
        <w:jc w:val="center"/>
      </w:pPr>
      <w:r w:rsidRPr="0051590F">
        <w:t>International Geopolitics and Space Regulation</w:t>
      </w:r>
    </w:p>
    <w:p w:rsidR="0051590F" w:rsidRDefault="0051590F" w:rsidP="0051590F">
      <w:pPr>
        <w:pStyle w:val="Nadpis2"/>
        <w:rPr>
          <w:rFonts w:ascii="Arial" w:hAnsi="Arial" w:cs="Arial"/>
          <w:color w:val="000000"/>
          <w:sz w:val="20"/>
          <w:szCs w:val="20"/>
        </w:rPr>
      </w:pPr>
      <w:r w:rsidRPr="0051590F">
        <w:rPr>
          <w:b w:val="0"/>
          <w:sz w:val="22"/>
          <w:szCs w:val="22"/>
        </w:rPr>
        <w:t>Gianfranco Gabriele Nucera, May 2019</w:t>
      </w:r>
      <w:r w:rsidRPr="0051590F">
        <w:rPr>
          <w:rFonts w:ascii="Arial" w:hAnsi="Arial" w:cs="Arial"/>
          <w:color w:val="000000"/>
          <w:sz w:val="20"/>
          <w:szCs w:val="20"/>
        </w:rPr>
        <w:t xml:space="preserve"> </w:t>
      </w:r>
    </w:p>
    <w:p w:rsidR="00D76FD4" w:rsidRPr="00D76FD4" w:rsidRDefault="00D76FD4" w:rsidP="00D76FD4">
      <w:pPr>
        <w:pStyle w:val="Nadpis2"/>
        <w:rPr>
          <w:rFonts w:ascii="Arial" w:hAnsi="Arial" w:cs="Arial"/>
          <w:color w:val="000000"/>
          <w:sz w:val="20"/>
          <w:szCs w:val="20"/>
        </w:rPr>
      </w:pPr>
      <w:r>
        <w:rPr>
          <w:rFonts w:ascii="Arial" w:hAnsi="Arial" w:cs="Arial"/>
          <w:noProof/>
          <w:color w:val="000000"/>
          <w:sz w:val="20"/>
          <w:szCs w:val="20"/>
        </w:rPr>
        <w:drawing>
          <wp:inline distT="0" distB="0" distL="0" distR="0">
            <wp:extent cx="3759298" cy="2506613"/>
            <wp:effectExtent l="19050" t="0" r="0" b="0"/>
            <wp:docPr id="1" name="Obrázek 0" descr="STT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TNG.jpg"/>
                    <pic:cNvPicPr/>
                  </pic:nvPicPr>
                  <pic:blipFill>
                    <a:blip r:embed="rId5" cstate="print"/>
                    <a:stretch>
                      <a:fillRect/>
                    </a:stretch>
                  </pic:blipFill>
                  <pic:spPr>
                    <a:xfrm>
                      <a:off x="0" y="0"/>
                      <a:ext cx="3760328" cy="2507300"/>
                    </a:xfrm>
                    <a:prstGeom prst="rect">
                      <a:avLst/>
                    </a:prstGeom>
                  </pic:spPr>
                </pic:pic>
              </a:graphicData>
            </a:graphic>
          </wp:inline>
        </w:drawing>
      </w:r>
    </w:p>
    <w:p w:rsidR="0051590F" w:rsidRPr="00F502EF" w:rsidRDefault="00F502EF" w:rsidP="0051590F">
      <w:pPr>
        <w:shd w:val="clear" w:color="auto" w:fill="FFFFFF"/>
        <w:spacing w:after="240" w:line="240" w:lineRule="auto"/>
        <w:jc w:val="both"/>
        <w:outlineLvl w:val="1"/>
        <w:rPr>
          <w:rFonts w:ascii="Times New Roman" w:eastAsia="Times New Roman" w:hAnsi="Times New Roman" w:cs="Times New Roman"/>
          <w:b/>
          <w:bCs/>
          <w:kern w:val="36"/>
          <w:lang w:eastAsia="cs-CZ"/>
        </w:rPr>
      </w:pPr>
      <w:r w:rsidRPr="00F502EF">
        <w:rPr>
          <w:rFonts w:ascii="Times New Roman" w:eastAsia="Times New Roman" w:hAnsi="Times New Roman" w:cs="Times New Roman"/>
          <w:b/>
          <w:bCs/>
          <w:kern w:val="36"/>
          <w:lang w:eastAsia="cs-CZ"/>
        </w:rPr>
        <w:t xml:space="preserve">1. </w:t>
      </w:r>
      <w:r w:rsidR="0051590F" w:rsidRPr="00F502EF">
        <w:rPr>
          <w:rFonts w:ascii="Times New Roman" w:eastAsia="Times New Roman" w:hAnsi="Times New Roman" w:cs="Times New Roman"/>
          <w:b/>
          <w:bCs/>
          <w:kern w:val="36"/>
          <w:lang w:eastAsia="cs-CZ"/>
        </w:rPr>
        <w:t>Introduction</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Outer space has always been an area of relevant geopolitical value due to strategic and economic reasons. Governments as well as private companies try to benefit from using space technologies and their applications. Furthermore, national space policies and programs have been central elements of the foreign policy of the states, as well as of their external influence and prestige in the context of international politics and diplomacy. Since the beginning of the so-called space age, national space policies have pursued both political and economic objectives, taking into account relevant security and military considerations. Military issues, in particular, have always been fundamental drivers for the development of scientific researches and technological devices (such as the systems of global positioning). In addition, during the Cold War, conducting activities in outer space represented an important tool for the enhancement of international cooperation, mainly within the blocs.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After the Second World War, the international relations were based on the dichotomy between the United States and the Soviet Union (USSR). The foundation of activities in outer space finds its roots in the Cold War and reproduces the distinctive geopolitical dynamics of that historical moment. In this context, outer space was considered as the ultimate dimension of the competition between the two states.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The diverging interests between the United States and the USSR at the time consolidated in political tensions that characterized the competition to reach outer space. Even if these tensions surrounded all international debates and negotiations, they have not impeded the reaching of consensus for the elaboration of international common rules to conduct space activities, to protect common interests, and to allow for the peaceful use of outer space. In this sense, agreements between the parties were instrumental in the development of space activities.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 xml:space="preserve">The international legal regime of outer space is characterized by the existence of specific rules aimed at guaranteeing free access, exploration, and use, with due regard to the corresponding interests of all states; preserving outer space from national appropriation; and prohibiting aggressive uses of outer space. It is a regime that protects the interests of all states even if, at that time when such rules were negotiated, only few states had the possibility to carry out space activities, from an economic, scientific, and technological point of view. Thanks to the adoption of a long-term perspective, the rules and principles concerning space activities survived, without particular difficulties, the changes in </w:t>
      </w:r>
      <w:r w:rsidRPr="0051590F">
        <w:rPr>
          <w:rFonts w:ascii="Times New Roman" w:eastAsia="Times New Roman" w:hAnsi="Times New Roman" w:cs="Times New Roman"/>
          <w:lang w:eastAsia="cs-CZ"/>
        </w:rPr>
        <w:lastRenderedPageBreak/>
        <w:t>international relations derived from the dissolution of the USSR and the globalization and emergence of private actors interested in the field.</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As many authors have correctly pointed out, the multiplication of actors in space after the end of the Cold War, coupled with increased reliance on and use of space technologies, means that space has emerged as an important component of national power and an excellent indicator of the status of an actor in the regional and international arenas.</w:t>
      </w:r>
    </w:p>
    <w:p w:rsidR="0051590F" w:rsidRPr="00F502EF" w:rsidRDefault="00F502EF" w:rsidP="0051590F">
      <w:pPr>
        <w:shd w:val="clear" w:color="auto" w:fill="FFFFFF"/>
        <w:spacing w:after="240" w:line="240" w:lineRule="auto"/>
        <w:jc w:val="both"/>
        <w:outlineLvl w:val="1"/>
        <w:rPr>
          <w:rFonts w:ascii="Times New Roman" w:eastAsia="Times New Roman" w:hAnsi="Times New Roman" w:cs="Times New Roman"/>
          <w:b/>
          <w:bCs/>
          <w:kern w:val="36"/>
          <w:lang w:eastAsia="cs-CZ"/>
        </w:rPr>
      </w:pPr>
      <w:r>
        <w:rPr>
          <w:rFonts w:ascii="Times New Roman" w:eastAsia="Times New Roman" w:hAnsi="Times New Roman" w:cs="Times New Roman"/>
          <w:b/>
          <w:bCs/>
          <w:kern w:val="36"/>
          <w:lang w:eastAsia="cs-CZ"/>
        </w:rPr>
        <w:t xml:space="preserve">2. </w:t>
      </w:r>
      <w:r w:rsidR="0051590F" w:rsidRPr="00F502EF">
        <w:rPr>
          <w:rFonts w:ascii="Times New Roman" w:eastAsia="Times New Roman" w:hAnsi="Times New Roman" w:cs="Times New Roman"/>
          <w:b/>
          <w:bCs/>
          <w:kern w:val="36"/>
          <w:lang w:eastAsia="cs-CZ"/>
        </w:rPr>
        <w:t>Space Geopolitics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Traditional geopolitics, developed since the beginning of the 20th century, explores how a political area and its development have been influenced by geographical factors. This kind of analysis was reintroduced in the international political discourse in the 1950s, when some scholars emphasized the human factors over the influence of geographical features in foreign policy (Mackinder, </w:t>
      </w:r>
      <w:hyperlink r:id="rId6" w:anchor="acrefore-9780190647926-e-40-bibItem-0057" w:history="1">
        <w:r w:rsidRPr="0051590F">
          <w:rPr>
            <w:rFonts w:ascii="Times New Roman" w:eastAsia="Times New Roman" w:hAnsi="Times New Roman" w:cs="Times New Roman"/>
            <w:smallCaps/>
            <w:lang w:eastAsia="cs-CZ"/>
          </w:rPr>
          <w:t>1904</w:t>
        </w:r>
      </w:hyperlink>
      <w:r w:rsidRPr="0051590F">
        <w:rPr>
          <w:rFonts w:ascii="Times New Roman" w:eastAsia="Times New Roman" w:hAnsi="Times New Roman" w:cs="Times New Roman"/>
          <w:lang w:eastAsia="cs-CZ"/>
        </w:rPr>
        <w:t>; Spykman, </w:t>
      </w:r>
      <w:hyperlink r:id="rId7" w:anchor="acrefore-9780190647926-e-40-bibItem-0069" w:history="1">
        <w:r w:rsidRPr="0051590F">
          <w:rPr>
            <w:rFonts w:ascii="Times New Roman" w:eastAsia="Times New Roman" w:hAnsi="Times New Roman" w:cs="Times New Roman"/>
            <w:smallCaps/>
            <w:lang w:eastAsia="cs-CZ"/>
          </w:rPr>
          <w:t>1944</w:t>
        </w:r>
      </w:hyperlink>
      <w:r w:rsidRPr="0051590F">
        <w:rPr>
          <w:rFonts w:ascii="Times New Roman" w:eastAsia="Times New Roman" w:hAnsi="Times New Roman" w:cs="Times New Roman"/>
          <w:lang w:eastAsia="cs-CZ"/>
        </w:rPr>
        <w:t>).</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The classical space geopolitics deals with how states should act in outer space to increase their influence in the international arena. In addition to the traditional dimensions of power, such as terrestrial, maritime, and aerial, the extraterrestrial dimension has become the fourth and most advanced element of power in international relations. In this sense, space activities represent a new instrument to enhance foreign policy or to reach a hegemonic position of power, due to scientific, technological, and military reasons.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 xml:space="preserve">The development of space activities and the evolving context of international politics between the </w:t>
      </w:r>
      <w:proofErr w:type="gramStart"/>
      <w:r w:rsidRPr="0051590F">
        <w:rPr>
          <w:rFonts w:ascii="Times New Roman" w:eastAsia="Times New Roman" w:hAnsi="Times New Roman" w:cs="Times New Roman"/>
          <w:lang w:eastAsia="cs-CZ"/>
        </w:rPr>
        <w:t>post–World</w:t>
      </w:r>
      <w:proofErr w:type="gramEnd"/>
      <w:r w:rsidRPr="0051590F">
        <w:rPr>
          <w:rFonts w:ascii="Times New Roman" w:eastAsia="Times New Roman" w:hAnsi="Times New Roman" w:cs="Times New Roman"/>
          <w:lang w:eastAsia="cs-CZ"/>
        </w:rPr>
        <w:t xml:space="preserve"> War II period and today encouraged a doctrinal debate that aims at reproducing and applying the classical theories of power to the political situation. The main approaches rely on different theoretical basis, such as realism, liberalism, determinism, and interactionism. These theories are largely attributable to American authors.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The first theory that, since the 1950s, aimed at explaining the link between international relations, politics of power, and space regulation focused on the issue of security (Moltz, </w:t>
      </w:r>
      <w:hyperlink r:id="rId8" w:anchor="acrefore-9780190647926-e-40-bibItem-0018" w:history="1">
        <w:r w:rsidRPr="0051590F">
          <w:rPr>
            <w:rFonts w:ascii="Times New Roman" w:eastAsia="Times New Roman" w:hAnsi="Times New Roman" w:cs="Times New Roman"/>
            <w:smallCaps/>
            <w:lang w:eastAsia="cs-CZ"/>
          </w:rPr>
          <w:t>2011</w:t>
        </w:r>
      </w:hyperlink>
      <w:r w:rsidRPr="0051590F">
        <w:rPr>
          <w:rFonts w:ascii="Times New Roman" w:eastAsia="Times New Roman" w:hAnsi="Times New Roman" w:cs="Times New Roman"/>
          <w:lang w:eastAsia="cs-CZ"/>
        </w:rPr>
        <w:t>). According to the “space nationalism” theory, states have the right to protect their space assets including through space militarization and direct military intervention against another state (Dolman, </w:t>
      </w:r>
      <w:hyperlink r:id="rId9" w:anchor="acrefore-9780190647926-e-40-bibItem-0033" w:history="1">
        <w:r w:rsidRPr="0051590F">
          <w:rPr>
            <w:rFonts w:ascii="Times New Roman" w:eastAsia="Times New Roman" w:hAnsi="Times New Roman" w:cs="Times New Roman"/>
            <w:smallCaps/>
            <w:lang w:eastAsia="cs-CZ"/>
          </w:rPr>
          <w:t>1999</w:t>
        </w:r>
      </w:hyperlink>
      <w:r w:rsidRPr="0051590F">
        <w:rPr>
          <w:rFonts w:ascii="Times New Roman" w:eastAsia="Times New Roman" w:hAnsi="Times New Roman" w:cs="Times New Roman"/>
          <w:lang w:eastAsia="cs-CZ"/>
        </w:rPr>
        <w:t>; Kash, </w:t>
      </w:r>
      <w:hyperlink r:id="rId10" w:anchor="acrefore-9780190647926-e-40-bibItem-0054" w:history="1">
        <w:r w:rsidRPr="0051590F">
          <w:rPr>
            <w:rFonts w:ascii="Times New Roman" w:eastAsia="Times New Roman" w:hAnsi="Times New Roman" w:cs="Times New Roman"/>
            <w:smallCaps/>
            <w:lang w:eastAsia="cs-CZ"/>
          </w:rPr>
          <w:t>1967</w:t>
        </w:r>
      </w:hyperlink>
      <w:r w:rsidRPr="0051590F">
        <w:rPr>
          <w:rFonts w:ascii="Times New Roman" w:eastAsia="Times New Roman" w:hAnsi="Times New Roman" w:cs="Times New Roman"/>
          <w:lang w:eastAsia="cs-CZ"/>
        </w:rPr>
        <w:t>; von Bencke, </w:t>
      </w:r>
      <w:hyperlink r:id="rId11" w:anchor="acrefore-9780190647926-e-40-bibItem-0085" w:history="1">
        <w:r w:rsidRPr="0051590F">
          <w:rPr>
            <w:rFonts w:ascii="Times New Roman" w:eastAsia="Times New Roman" w:hAnsi="Times New Roman" w:cs="Times New Roman"/>
            <w:smallCaps/>
            <w:lang w:eastAsia="cs-CZ"/>
          </w:rPr>
          <w:t>1997</w:t>
        </w:r>
      </w:hyperlink>
      <w:r w:rsidRPr="0051590F">
        <w:rPr>
          <w:rFonts w:ascii="Times New Roman" w:eastAsia="Times New Roman" w:hAnsi="Times New Roman" w:cs="Times New Roman"/>
          <w:lang w:eastAsia="cs-CZ"/>
        </w:rPr>
        <w:t>).</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In the opinion of the authors embracing the theory of the “global institutionalism,” on the contrary, militarization is seen as a danger for the evolution of space activities, and the only way to guarantee the peaceful use of outer space is to establish an international authority, with a specific mandate to regulate activities and act on behalf of the international community (Clarke, </w:t>
      </w:r>
      <w:hyperlink r:id="rId12" w:anchor="acrefore-9780190647926-e-40-bibItem-0028" w:history="1">
        <w:r w:rsidRPr="0051590F">
          <w:rPr>
            <w:rFonts w:ascii="Times New Roman" w:eastAsia="Times New Roman" w:hAnsi="Times New Roman" w:cs="Times New Roman"/>
            <w:smallCaps/>
            <w:lang w:eastAsia="cs-CZ"/>
          </w:rPr>
          <w:t>1959</w:t>
        </w:r>
      </w:hyperlink>
      <w:r w:rsidRPr="0051590F">
        <w:rPr>
          <w:rFonts w:ascii="Times New Roman" w:eastAsia="Times New Roman" w:hAnsi="Times New Roman" w:cs="Times New Roman"/>
          <w:lang w:eastAsia="cs-CZ"/>
        </w:rPr>
        <w:t>; Hibbs, </w:t>
      </w:r>
      <w:hyperlink r:id="rId13" w:anchor="acrefore-9780190647926-e-40-bibItem-0043" w:history="1">
        <w:r w:rsidRPr="0051590F">
          <w:rPr>
            <w:rFonts w:ascii="Times New Roman" w:eastAsia="Times New Roman" w:hAnsi="Times New Roman" w:cs="Times New Roman"/>
            <w:smallCaps/>
            <w:lang w:eastAsia="cs-CZ"/>
          </w:rPr>
          <w:t>1966</w:t>
        </w:r>
      </w:hyperlink>
      <w:r w:rsidRPr="0051590F">
        <w:rPr>
          <w:rFonts w:ascii="Times New Roman" w:eastAsia="Times New Roman" w:hAnsi="Times New Roman" w:cs="Times New Roman"/>
          <w:lang w:eastAsia="cs-CZ"/>
        </w:rPr>
        <w:t>).</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The theory of “technological determinism,” rooted in the 1970s, underlines that, in the context of the international legal order of the time, it was impossible for international organizations to fully control space activities and only states had the right to conduct activities in outer space. The role for international organizations was thus to monitor such activities and make recommendations to promote a proper exploration and use of outer space (Frutkin, </w:t>
      </w:r>
      <w:hyperlink r:id="rId14" w:anchor="acrefore-9780190647926-e-40-bibItem-0039" w:history="1">
        <w:r w:rsidRPr="0051590F">
          <w:rPr>
            <w:rFonts w:ascii="Times New Roman" w:eastAsia="Times New Roman" w:hAnsi="Times New Roman" w:cs="Times New Roman"/>
            <w:smallCaps/>
            <w:lang w:eastAsia="cs-CZ"/>
          </w:rPr>
          <w:t>1965</w:t>
        </w:r>
      </w:hyperlink>
      <w:r w:rsidRPr="0051590F">
        <w:rPr>
          <w:rFonts w:ascii="Times New Roman" w:eastAsia="Times New Roman" w:hAnsi="Times New Roman" w:cs="Times New Roman"/>
          <w:lang w:eastAsia="cs-CZ"/>
        </w:rPr>
        <w:t>; York, </w:t>
      </w:r>
      <w:hyperlink r:id="rId15" w:anchor="acrefore-9780190647926-e-40-bibItem-0087" w:history="1">
        <w:r w:rsidRPr="0051590F">
          <w:rPr>
            <w:rFonts w:ascii="Times New Roman" w:eastAsia="Times New Roman" w:hAnsi="Times New Roman" w:cs="Times New Roman"/>
            <w:smallCaps/>
            <w:lang w:eastAsia="cs-CZ"/>
          </w:rPr>
          <w:t>1970</w:t>
        </w:r>
      </w:hyperlink>
      <w:r w:rsidRPr="0051590F">
        <w:rPr>
          <w:rFonts w:ascii="Times New Roman" w:eastAsia="Times New Roman" w:hAnsi="Times New Roman" w:cs="Times New Roman"/>
          <w:lang w:eastAsia="cs-CZ"/>
        </w:rPr>
        <w:t>).</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The theory of “social interactionism,” developed during the 1980s, focused on the political aspects of the decision-making process. It described the technological and political outcomes of international cooperation among states and did not give attention to the legal aspects. The authors embracing this theory rejected the idea of the inevitability of space weaponization, which could be prevented by enhancing transparency and reciprocal understanding in international relations (Jervis, </w:t>
      </w:r>
      <w:hyperlink r:id="rId16" w:anchor="acrefore-9780190647926-e-40-bibItem-0053" w:history="1">
        <w:r w:rsidRPr="0051590F">
          <w:rPr>
            <w:rFonts w:ascii="Times New Roman" w:eastAsia="Times New Roman" w:hAnsi="Times New Roman" w:cs="Times New Roman"/>
            <w:smallCaps/>
            <w:lang w:eastAsia="cs-CZ"/>
          </w:rPr>
          <w:t>1976</w:t>
        </w:r>
      </w:hyperlink>
      <w:r w:rsidRPr="0051590F">
        <w:rPr>
          <w:rFonts w:ascii="Times New Roman" w:eastAsia="Times New Roman" w:hAnsi="Times New Roman" w:cs="Times New Roman"/>
          <w:lang w:eastAsia="cs-CZ"/>
        </w:rPr>
        <w:t>; Neustadt &amp; May, </w:t>
      </w:r>
      <w:hyperlink r:id="rId17" w:anchor="acrefore-9780190647926-e-40-bibItem-0067" w:history="1">
        <w:r w:rsidRPr="0051590F">
          <w:rPr>
            <w:rFonts w:ascii="Times New Roman" w:eastAsia="Times New Roman" w:hAnsi="Times New Roman" w:cs="Times New Roman"/>
            <w:smallCaps/>
            <w:lang w:eastAsia="cs-CZ"/>
          </w:rPr>
          <w:t>1986</w:t>
        </w:r>
      </w:hyperlink>
      <w:r w:rsidRPr="0051590F">
        <w:rPr>
          <w:rFonts w:ascii="Times New Roman" w:eastAsia="Times New Roman" w:hAnsi="Times New Roman" w:cs="Times New Roman"/>
          <w:lang w:eastAsia="cs-CZ"/>
        </w:rPr>
        <w:t>).</w:t>
      </w:r>
    </w:p>
    <w:p w:rsidR="00D76FD4" w:rsidRDefault="00D76FD4" w:rsidP="0051590F">
      <w:pPr>
        <w:shd w:val="clear" w:color="auto" w:fill="FFFFFF"/>
        <w:spacing w:before="300" w:after="225" w:line="240" w:lineRule="auto"/>
        <w:jc w:val="both"/>
        <w:outlineLvl w:val="1"/>
        <w:rPr>
          <w:rFonts w:ascii="Times New Roman" w:eastAsia="Times New Roman" w:hAnsi="Times New Roman" w:cs="Times New Roman"/>
          <w:b/>
          <w:bCs/>
          <w:lang w:eastAsia="cs-CZ"/>
        </w:rPr>
      </w:pPr>
    </w:p>
    <w:p w:rsidR="0051590F" w:rsidRPr="00F502EF" w:rsidRDefault="00F502EF" w:rsidP="0051590F">
      <w:pPr>
        <w:shd w:val="clear" w:color="auto" w:fill="FFFFFF"/>
        <w:spacing w:before="300" w:after="225" w:line="240" w:lineRule="auto"/>
        <w:jc w:val="both"/>
        <w:outlineLvl w:val="1"/>
        <w:rPr>
          <w:rFonts w:ascii="Times New Roman" w:eastAsia="Times New Roman" w:hAnsi="Times New Roman" w:cs="Times New Roman"/>
          <w:b/>
          <w:bCs/>
          <w:lang w:eastAsia="cs-CZ"/>
        </w:rPr>
      </w:pPr>
      <w:r>
        <w:rPr>
          <w:rFonts w:ascii="Times New Roman" w:eastAsia="Times New Roman" w:hAnsi="Times New Roman" w:cs="Times New Roman"/>
          <w:b/>
          <w:bCs/>
          <w:lang w:eastAsia="cs-CZ"/>
        </w:rPr>
        <w:lastRenderedPageBreak/>
        <w:t xml:space="preserve">3. </w:t>
      </w:r>
      <w:r w:rsidR="0051590F" w:rsidRPr="00F502EF">
        <w:rPr>
          <w:rFonts w:ascii="Times New Roman" w:eastAsia="Times New Roman" w:hAnsi="Times New Roman" w:cs="Times New Roman"/>
          <w:b/>
          <w:bCs/>
          <w:lang w:eastAsia="cs-CZ"/>
        </w:rPr>
        <w:t>Realist Approach After</w:t>
      </w:r>
      <w:r>
        <w:rPr>
          <w:rFonts w:ascii="Times New Roman" w:eastAsia="Times New Roman" w:hAnsi="Times New Roman" w:cs="Times New Roman"/>
          <w:b/>
          <w:bCs/>
          <w:lang w:eastAsia="cs-CZ"/>
        </w:rPr>
        <w:t xml:space="preserve"> the End of the United </w:t>
      </w:r>
      <w:proofErr w:type="gramStart"/>
      <w:r>
        <w:rPr>
          <w:rFonts w:ascii="Times New Roman" w:eastAsia="Times New Roman" w:hAnsi="Times New Roman" w:cs="Times New Roman"/>
          <w:b/>
          <w:bCs/>
          <w:lang w:eastAsia="cs-CZ"/>
        </w:rPr>
        <w:t>States–U</w:t>
      </w:r>
      <w:r w:rsidR="0051590F" w:rsidRPr="00F502EF">
        <w:rPr>
          <w:rFonts w:ascii="Times New Roman" w:eastAsia="Times New Roman" w:hAnsi="Times New Roman" w:cs="Times New Roman"/>
          <w:b/>
          <w:bCs/>
          <w:lang w:eastAsia="cs-CZ"/>
        </w:rPr>
        <w:t>SS</w:t>
      </w:r>
      <w:r>
        <w:rPr>
          <w:rFonts w:ascii="Times New Roman" w:eastAsia="Times New Roman" w:hAnsi="Times New Roman" w:cs="Times New Roman"/>
          <w:b/>
          <w:bCs/>
          <w:lang w:eastAsia="cs-CZ"/>
        </w:rPr>
        <w:t>R</w:t>
      </w:r>
      <w:proofErr w:type="gramEnd"/>
      <w:r w:rsidR="0051590F" w:rsidRPr="00F502EF">
        <w:rPr>
          <w:rFonts w:ascii="Times New Roman" w:eastAsia="Times New Roman" w:hAnsi="Times New Roman" w:cs="Times New Roman"/>
          <w:b/>
          <w:bCs/>
          <w:lang w:eastAsia="cs-CZ"/>
        </w:rPr>
        <w:t xml:space="preserve"> Competition</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Political realism assumes that power is the primary objective of action. Classical realism considers states, in the absence of a supranational overarching authority, as actors in permanent competition for power. This condition is seen as the only solution for the state to fulfill its interests and survive (Morgenthau, </w:t>
      </w:r>
      <w:hyperlink r:id="rId18" w:anchor="acrefore-9780190647926-e-40-bibItem-0066" w:history="1">
        <w:r w:rsidRPr="0051590F">
          <w:rPr>
            <w:rFonts w:ascii="Times New Roman" w:eastAsia="Times New Roman" w:hAnsi="Times New Roman" w:cs="Times New Roman"/>
            <w:smallCaps/>
            <w:lang w:eastAsia="cs-CZ"/>
          </w:rPr>
          <w:t>1960</w:t>
        </w:r>
      </w:hyperlink>
      <w:r w:rsidRPr="0051590F">
        <w:rPr>
          <w:rFonts w:ascii="Times New Roman" w:eastAsia="Times New Roman" w:hAnsi="Times New Roman" w:cs="Times New Roman"/>
          <w:lang w:eastAsia="cs-CZ"/>
        </w:rPr>
        <w:t>).</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According to most of the theories developed during the space race, whoever controls outer space and its specific assets controls Earth. These assumptions derive from the application to the outer space area of the traditional theory of Mackinder (</w:t>
      </w:r>
      <w:hyperlink r:id="rId19" w:anchor="acrefore-9780190647926-e-40-bibItem-0057" w:history="1">
        <w:r w:rsidRPr="0051590F">
          <w:rPr>
            <w:rFonts w:ascii="Times New Roman" w:eastAsia="Times New Roman" w:hAnsi="Times New Roman" w:cs="Times New Roman"/>
            <w:smallCaps/>
            <w:lang w:eastAsia="cs-CZ"/>
          </w:rPr>
          <w:t>1904</w:t>
        </w:r>
      </w:hyperlink>
      <w:r w:rsidRPr="0051590F">
        <w:rPr>
          <w:rFonts w:ascii="Times New Roman" w:eastAsia="Times New Roman" w:hAnsi="Times New Roman" w:cs="Times New Roman"/>
          <w:lang w:eastAsia="cs-CZ"/>
        </w:rPr>
        <w:t>) on the heartland and on the continental power. Crucial to this theory was the physical impossibility to occupy all the critical areas of the world (heartland, World Island, and so on). Therefore, in order to reach full control of the cited areas, it is important to deny control of those areas to the adversaries (Mackinder, </w:t>
      </w:r>
      <w:hyperlink r:id="rId20" w:anchor="acrefore-9780190647926-e-40-bibItem-0057" w:history="1">
        <w:r w:rsidRPr="0051590F">
          <w:rPr>
            <w:rFonts w:ascii="Times New Roman" w:eastAsia="Times New Roman" w:hAnsi="Times New Roman" w:cs="Times New Roman"/>
            <w:smallCaps/>
            <w:lang w:eastAsia="cs-CZ"/>
          </w:rPr>
          <w:t>1904</w:t>
        </w:r>
      </w:hyperlink>
      <w:r w:rsidRPr="0051590F">
        <w:rPr>
          <w:rFonts w:ascii="Times New Roman" w:eastAsia="Times New Roman" w:hAnsi="Times New Roman" w:cs="Times New Roman"/>
          <w:lang w:eastAsia="cs-CZ"/>
        </w:rPr>
        <w:t>).</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 xml:space="preserve">The realist approach was linked to the idea of “realpolitik” that surrounded the era of the Cold War. The term “astropolitik” means the application of the preeminent and refined realist vision of </w:t>
      </w:r>
      <w:proofErr w:type="gramStart"/>
      <w:r w:rsidRPr="0051590F">
        <w:rPr>
          <w:rFonts w:ascii="Times New Roman" w:eastAsia="Times New Roman" w:hAnsi="Times New Roman" w:cs="Times New Roman"/>
          <w:lang w:eastAsia="cs-CZ"/>
        </w:rPr>
        <w:t>state</w:t>
      </w:r>
      <w:proofErr w:type="gramEnd"/>
      <w:r w:rsidRPr="0051590F">
        <w:rPr>
          <w:rFonts w:ascii="Times New Roman" w:eastAsia="Times New Roman" w:hAnsi="Times New Roman" w:cs="Times New Roman"/>
          <w:lang w:eastAsia="cs-CZ"/>
        </w:rPr>
        <w:t xml:space="preserve"> competition into outer space, particularly in contrast to the development and evolution of a legal and political regime for the use of space.</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Orbits, regions of space, and launch points are described as geopolitically vital assets over which states should competitively and strategically struggle for their control. On this basis, the theory of the astropolitik makes a demarcation of the four geopolitical regions of outer space (Earth, Earth space, Moon space, solar space) and reproduces the assumption that whoever controls the terrestrial orbit controls outer space and whoever controls outer space dominates the world. Dolman (</w:t>
      </w:r>
      <w:hyperlink r:id="rId21" w:anchor="acrefore-9780190647926-e-40-bibItem-0033" w:history="1">
        <w:r w:rsidRPr="0051590F">
          <w:rPr>
            <w:rFonts w:ascii="Times New Roman" w:eastAsia="Times New Roman" w:hAnsi="Times New Roman" w:cs="Times New Roman"/>
            <w:smallCaps/>
            <w:lang w:eastAsia="cs-CZ"/>
          </w:rPr>
          <w:t>1999</w:t>
        </w:r>
      </w:hyperlink>
      <w:r w:rsidRPr="0051590F">
        <w:rPr>
          <w:rFonts w:ascii="Times New Roman" w:eastAsia="Times New Roman" w:hAnsi="Times New Roman" w:cs="Times New Roman"/>
          <w:lang w:eastAsia="cs-CZ"/>
        </w:rPr>
        <w:t>) specifies that domination of space will come through efficient control of specific strategic narrows, choke points, and lanes of commerce. In this sense, security on Earth depends on security in space, ensured by national control over the strategic assets (Dolman, </w:t>
      </w:r>
      <w:hyperlink r:id="rId22" w:anchor="acrefore-9780190647926-e-40-bibItem-0033" w:history="1">
        <w:r w:rsidRPr="0051590F">
          <w:rPr>
            <w:rFonts w:ascii="Times New Roman" w:eastAsia="Times New Roman" w:hAnsi="Times New Roman" w:cs="Times New Roman"/>
            <w:smallCaps/>
            <w:lang w:eastAsia="cs-CZ"/>
          </w:rPr>
          <w:t>1999</w:t>
        </w:r>
      </w:hyperlink>
      <w:r w:rsidRPr="0051590F">
        <w:rPr>
          <w:rFonts w:ascii="Times New Roman" w:eastAsia="Times New Roman" w:hAnsi="Times New Roman" w:cs="Times New Roman"/>
          <w:lang w:eastAsia="cs-CZ"/>
        </w:rPr>
        <w:t>).</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In the view of Dolman (</w:t>
      </w:r>
      <w:hyperlink r:id="rId23" w:anchor="acrefore-9780190647926-e-40-bibItem-0033" w:history="1">
        <w:r w:rsidRPr="0051590F">
          <w:rPr>
            <w:rFonts w:ascii="Times New Roman" w:eastAsia="Times New Roman" w:hAnsi="Times New Roman" w:cs="Times New Roman"/>
            <w:smallCaps/>
            <w:lang w:eastAsia="cs-CZ"/>
          </w:rPr>
          <w:t>1999</w:t>
        </w:r>
      </w:hyperlink>
      <w:r w:rsidRPr="0051590F">
        <w:rPr>
          <w:rFonts w:ascii="Times New Roman" w:eastAsia="Times New Roman" w:hAnsi="Times New Roman" w:cs="Times New Roman"/>
          <w:lang w:eastAsia="cs-CZ"/>
        </w:rPr>
        <w:t>), the weaponization of space is inevitable, and the United States must be prepared to face this challenge. Furthermore, Dolman suggests the withdrawal of the United States from the existing international legal regime on space activities, particularly the Treaty on Principles Governing the Activities of States in the Exploration and Use of Outer Space (the Outer Space Treaty [OST]), because this instrument, in the opinion of the author, adopts a “global common” perspective instead of pursuing the objectives of a free market competition and privatization of space resources (Dolman, </w:t>
      </w:r>
      <w:hyperlink r:id="rId24" w:anchor="acrefore-9780190647926-e-40-bibItem-0003" w:history="1">
        <w:r w:rsidRPr="0051590F">
          <w:rPr>
            <w:rFonts w:ascii="Times New Roman" w:eastAsia="Times New Roman" w:hAnsi="Times New Roman" w:cs="Times New Roman"/>
            <w:smallCaps/>
            <w:lang w:eastAsia="cs-CZ"/>
          </w:rPr>
          <w:t>2002</w:t>
        </w:r>
      </w:hyperlink>
      <w:r w:rsidRPr="0051590F">
        <w:rPr>
          <w:rFonts w:ascii="Times New Roman" w:eastAsia="Times New Roman" w:hAnsi="Times New Roman" w:cs="Times New Roman"/>
          <w:lang w:eastAsia="cs-CZ"/>
        </w:rPr>
        <w:t xml:space="preserve">). However, the idea that the OST generates the difficulties </w:t>
      </w:r>
      <w:proofErr w:type="gramStart"/>
      <w:r w:rsidRPr="0051590F">
        <w:rPr>
          <w:rFonts w:ascii="Times New Roman" w:eastAsia="Times New Roman" w:hAnsi="Times New Roman" w:cs="Times New Roman"/>
          <w:lang w:eastAsia="cs-CZ"/>
        </w:rPr>
        <w:t>of U.S.</w:t>
      </w:r>
      <w:proofErr w:type="gramEnd"/>
      <w:r w:rsidRPr="0051590F">
        <w:rPr>
          <w:rFonts w:ascii="Times New Roman" w:eastAsia="Times New Roman" w:hAnsi="Times New Roman" w:cs="Times New Roman"/>
          <w:lang w:eastAsia="cs-CZ"/>
        </w:rPr>
        <w:t xml:space="preserve"> private actors in engaging in space activities was examined in a May 2017 hearing before the U.S. Senate Subcommittee on Space, Science, and Competitiveness. During the hearing, titled “Reopening the American Frontier: Exploring How the Outer Space Treaty Will Impact American Commerce and Settlement in Space,” the experts declared that the OST itself was not a barrier for private actors and that they </w:t>
      </w:r>
      <w:proofErr w:type="gramStart"/>
      <w:r w:rsidRPr="0051590F">
        <w:rPr>
          <w:rFonts w:ascii="Times New Roman" w:eastAsia="Times New Roman" w:hAnsi="Times New Roman" w:cs="Times New Roman"/>
          <w:lang w:eastAsia="cs-CZ"/>
        </w:rPr>
        <w:t>favored U.S.</w:t>
      </w:r>
      <w:proofErr w:type="gramEnd"/>
      <w:r w:rsidRPr="0051590F">
        <w:rPr>
          <w:rFonts w:ascii="Times New Roman" w:eastAsia="Times New Roman" w:hAnsi="Times New Roman" w:cs="Times New Roman"/>
          <w:lang w:eastAsia="cs-CZ"/>
        </w:rPr>
        <w:t xml:space="preserve"> participation in the treaty. National legislation, instead, represents a barrier because of the lack of clarity (United States Senate Subcommittee on Space, Science, and Competitiveness, </w:t>
      </w:r>
      <w:hyperlink r:id="rId25" w:anchor="acrefore-9780190647926-e-40-bibItem-0084" w:history="1">
        <w:r w:rsidRPr="0051590F">
          <w:rPr>
            <w:rFonts w:ascii="Times New Roman" w:eastAsia="Times New Roman" w:hAnsi="Times New Roman" w:cs="Times New Roman"/>
            <w:smallCaps/>
            <w:lang w:eastAsia="cs-CZ"/>
          </w:rPr>
          <w:t>2017</w:t>
        </w:r>
      </w:hyperlink>
      <w:r w:rsidRPr="0051590F">
        <w:rPr>
          <w:rFonts w:ascii="Times New Roman" w:eastAsia="Times New Roman" w:hAnsi="Times New Roman" w:cs="Times New Roman"/>
          <w:lang w:eastAsia="cs-CZ"/>
        </w:rPr>
        <w:t>).</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 xml:space="preserve">The realist approach seems to be useful to explain the space security and defense related dynamics of an important geopolitical phase, started with the 1983 Strategic Defense Initiative, promulgated </w:t>
      </w:r>
      <w:proofErr w:type="gramStart"/>
      <w:r w:rsidRPr="0051590F">
        <w:rPr>
          <w:rFonts w:ascii="Times New Roman" w:eastAsia="Times New Roman" w:hAnsi="Times New Roman" w:cs="Times New Roman"/>
          <w:lang w:eastAsia="cs-CZ"/>
        </w:rPr>
        <w:t>by U.S.</w:t>
      </w:r>
      <w:proofErr w:type="gramEnd"/>
      <w:r w:rsidRPr="0051590F">
        <w:rPr>
          <w:rFonts w:ascii="Times New Roman" w:eastAsia="Times New Roman" w:hAnsi="Times New Roman" w:cs="Times New Roman"/>
          <w:lang w:eastAsia="cs-CZ"/>
        </w:rPr>
        <w:t xml:space="preserve"> President Reagan, and intensified since the 2002 withdrawal of the United States from the 1972 Treaty Between the United States of America and the Union of Soviet Socialist Republics on the Reduction and Limitation of Strategic Offensive Arms. The Treaty aimed at limiting the parties’ defenses against ballistic missiles, </w:t>
      </w:r>
      <w:proofErr w:type="gramStart"/>
      <w:r w:rsidRPr="0051590F">
        <w:rPr>
          <w:rFonts w:ascii="Times New Roman" w:eastAsia="Times New Roman" w:hAnsi="Times New Roman" w:cs="Times New Roman"/>
          <w:lang w:eastAsia="cs-CZ"/>
        </w:rPr>
        <w:t>in line</w:t>
      </w:r>
      <w:proofErr w:type="gramEnd"/>
      <w:r w:rsidRPr="0051590F">
        <w:rPr>
          <w:rFonts w:ascii="Times New Roman" w:eastAsia="Times New Roman" w:hAnsi="Times New Roman" w:cs="Times New Roman"/>
          <w:lang w:eastAsia="cs-CZ"/>
        </w:rPr>
        <w:t xml:space="preserve"> with its recognition of the logic of the mutually assured destruction. </w:t>
      </w:r>
      <w:proofErr w:type="gramStart"/>
      <w:r w:rsidRPr="0051590F">
        <w:rPr>
          <w:rFonts w:ascii="Times New Roman" w:eastAsia="Times New Roman" w:hAnsi="Times New Roman" w:cs="Times New Roman"/>
          <w:lang w:eastAsia="cs-CZ"/>
        </w:rPr>
        <w:t>The U.S.</w:t>
      </w:r>
      <w:proofErr w:type="gramEnd"/>
      <w:r w:rsidRPr="0051590F">
        <w:rPr>
          <w:rFonts w:ascii="Times New Roman" w:eastAsia="Times New Roman" w:hAnsi="Times New Roman" w:cs="Times New Roman"/>
          <w:lang w:eastAsia="cs-CZ"/>
        </w:rPr>
        <w:t xml:space="preserve"> withdrawal represents a shift from the traditional geopolitics of the Cold War toward a new competitive phase of space security on a national level, as was the case of the Russian response through the 2002 withdrawal from the 1993 Treaty Between the United States of America and the Russian Federation on Further Reduction and Limitation of Strategic Offensive Arms, and on an international level, with several new initiatives launched in the context of the United Nations (UN) Conference on Disarmament to discuss the prevention of an arms race in outer space.</w:t>
      </w:r>
    </w:p>
    <w:p w:rsidR="0051590F" w:rsidRPr="00F502EF" w:rsidRDefault="00F502EF" w:rsidP="0051590F">
      <w:pPr>
        <w:shd w:val="clear" w:color="auto" w:fill="FFFFFF"/>
        <w:spacing w:before="300" w:after="225" w:line="240" w:lineRule="auto"/>
        <w:jc w:val="both"/>
        <w:outlineLvl w:val="1"/>
        <w:rPr>
          <w:rFonts w:ascii="Times New Roman" w:eastAsia="Times New Roman" w:hAnsi="Times New Roman" w:cs="Times New Roman"/>
          <w:b/>
          <w:bCs/>
          <w:lang w:eastAsia="cs-CZ"/>
        </w:rPr>
      </w:pPr>
      <w:r>
        <w:rPr>
          <w:rFonts w:ascii="Times New Roman" w:eastAsia="Times New Roman" w:hAnsi="Times New Roman" w:cs="Times New Roman"/>
          <w:b/>
          <w:bCs/>
          <w:lang w:eastAsia="cs-CZ"/>
        </w:rPr>
        <w:lastRenderedPageBreak/>
        <w:t xml:space="preserve">4. </w:t>
      </w:r>
      <w:r w:rsidR="0051590F" w:rsidRPr="00F502EF">
        <w:rPr>
          <w:rFonts w:ascii="Times New Roman" w:eastAsia="Times New Roman" w:hAnsi="Times New Roman" w:cs="Times New Roman"/>
          <w:b/>
          <w:bCs/>
          <w:lang w:eastAsia="cs-CZ"/>
        </w:rPr>
        <w:t>Liberal Vision through the New Era of Space Activities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 xml:space="preserve">In contrast to the realist vision, the liberal school does not conceive the world as in a </w:t>
      </w:r>
      <w:proofErr w:type="gramStart"/>
      <w:r w:rsidRPr="0051590F">
        <w:rPr>
          <w:rFonts w:ascii="Times New Roman" w:eastAsia="Times New Roman" w:hAnsi="Times New Roman" w:cs="Times New Roman"/>
          <w:lang w:eastAsia="cs-CZ"/>
        </w:rPr>
        <w:t>state</w:t>
      </w:r>
      <w:proofErr w:type="gramEnd"/>
      <w:r w:rsidRPr="0051590F">
        <w:rPr>
          <w:rFonts w:ascii="Times New Roman" w:eastAsia="Times New Roman" w:hAnsi="Times New Roman" w:cs="Times New Roman"/>
          <w:lang w:eastAsia="cs-CZ"/>
        </w:rPr>
        <w:t xml:space="preserve"> of permanent war deriving from competition between countries. The application of liberalism, which is based on the principles of freedom and equality, to international relations leads to the assumption that states and peoples should be aware of their common objectives, which can be reached through effective international cooperation, rather than unilateral efforts. It takes into account also non-state actors and the national interests of all spacefaring states.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Deudney (</w:t>
      </w:r>
      <w:hyperlink r:id="rId26" w:anchor="acrefore-9780190647926-e-40-bibItem-0002" w:history="1">
        <w:r w:rsidRPr="0051590F">
          <w:rPr>
            <w:rFonts w:ascii="Times New Roman" w:eastAsia="Times New Roman" w:hAnsi="Times New Roman" w:cs="Times New Roman"/>
            <w:smallCaps/>
            <w:lang w:eastAsia="cs-CZ"/>
          </w:rPr>
          <w:t>2002</w:t>
        </w:r>
      </w:hyperlink>
      <w:r w:rsidRPr="0051590F">
        <w:rPr>
          <w:rFonts w:ascii="Times New Roman" w:eastAsia="Times New Roman" w:hAnsi="Times New Roman" w:cs="Times New Roman"/>
          <w:lang w:eastAsia="cs-CZ"/>
        </w:rPr>
        <w:t>) introduced a materialist argument to construct geopolitics as “historical security materialism.” In this model, the forces of destruction, constituted by the interaction between geography and technology, determine the security functionality of different modes of protection. Two competing modes of protection, the real-state and the federal-republican, entail different forms of arms control and patterns of institution-building and in turn generate differing political structures (Deudney, </w:t>
      </w:r>
      <w:hyperlink r:id="rId27" w:anchor="acrefore-9780190647926-e-40-bibItem-0002" w:history="1">
        <w:r w:rsidRPr="0051590F">
          <w:rPr>
            <w:rFonts w:ascii="Times New Roman" w:eastAsia="Times New Roman" w:hAnsi="Times New Roman" w:cs="Times New Roman"/>
            <w:smallCaps/>
            <w:lang w:eastAsia="cs-CZ"/>
          </w:rPr>
          <w:t>2002</w:t>
        </w:r>
      </w:hyperlink>
      <w:r w:rsidRPr="0051590F">
        <w:rPr>
          <w:rFonts w:ascii="Times New Roman" w:eastAsia="Times New Roman" w:hAnsi="Times New Roman" w:cs="Times New Roman"/>
          <w:lang w:eastAsia="cs-CZ"/>
        </w:rPr>
        <w:t>). According to the theory, the more a security context is rich in the potential for violence, the better suited a federal-republican mode of protection is to avoid a systemic breakdown (Havercroft &amp; Duvall, </w:t>
      </w:r>
      <w:hyperlink r:id="rId28" w:anchor="acrefore-9780190647926-e-40-bibItem-0041" w:history="1">
        <w:r w:rsidRPr="0051590F">
          <w:rPr>
            <w:rFonts w:ascii="Times New Roman" w:eastAsia="Times New Roman" w:hAnsi="Times New Roman" w:cs="Times New Roman"/>
            <w:smallCaps/>
            <w:lang w:eastAsia="cs-CZ"/>
          </w:rPr>
          <w:t>2009</w:t>
        </w:r>
      </w:hyperlink>
      <w:r w:rsidRPr="0051590F">
        <w:rPr>
          <w:rFonts w:ascii="Times New Roman" w:eastAsia="Times New Roman" w:hAnsi="Times New Roman" w:cs="Times New Roman"/>
          <w:lang w:eastAsia="cs-CZ"/>
        </w:rPr>
        <w:t>).</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The liberal approach assumes that the effective control of outer space by one state would lead to a negative planetwide hegemony, in contrast with the possibility to peacefully use outer space and with the necessary balance between the two superpowers. There should be no hegemony in space but rather collaboration. According to liberal authors, the proof of the correct vision of the liberalist approach lies in the specificity of the Cold War era, mainly characterized by two aspects: on the one side the arms race and the related theory of deterrence and, on the other side, international cooperation, both inter- and intra-bloc, as a way to promote peace through binding practices. The basic idea is to limit conflicts among superpowers by securing cooperation in outer space.</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International space cooperation had indeed a central role in the context of deterrence. The best example was the Apollo-Soyuz Test Project in 1975, which was the first human spaceflight to include two participating states working together with their own national spacecraft. During the mission, the two modules docked, and the astronauts conducted joint science experiments. Furthermore, the impact of the project went far beyond the scientific aspects, because the image of the two space crews warmly greeting each other reached a global audience watching the historic event on television.</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The global institutionalism school shares with the liberal approach the concept of institutionalized cooperation, underlining the role that space treaties, institutions, and multilateral actions play in maintaining peace on Earth. For instance, global institutionalists see the OST as a major achievement for the nonproliferation of nuclear weapons.</w:t>
      </w:r>
    </w:p>
    <w:p w:rsidR="0051590F" w:rsidRPr="00F502EF" w:rsidRDefault="00F502EF" w:rsidP="0051590F">
      <w:pPr>
        <w:shd w:val="clear" w:color="auto" w:fill="FFFFFF"/>
        <w:spacing w:before="300" w:after="225" w:line="240" w:lineRule="auto"/>
        <w:jc w:val="both"/>
        <w:outlineLvl w:val="1"/>
        <w:rPr>
          <w:rFonts w:ascii="Times New Roman" w:eastAsia="Times New Roman" w:hAnsi="Times New Roman" w:cs="Times New Roman"/>
          <w:b/>
          <w:bCs/>
          <w:lang w:eastAsia="cs-CZ"/>
        </w:rPr>
      </w:pPr>
      <w:r>
        <w:rPr>
          <w:rFonts w:ascii="Times New Roman" w:eastAsia="Times New Roman" w:hAnsi="Times New Roman" w:cs="Times New Roman"/>
          <w:b/>
          <w:bCs/>
          <w:lang w:eastAsia="cs-CZ"/>
        </w:rPr>
        <w:t xml:space="preserve">5. </w:t>
      </w:r>
      <w:r w:rsidR="0051590F" w:rsidRPr="00F502EF">
        <w:rPr>
          <w:rFonts w:ascii="Times New Roman" w:eastAsia="Times New Roman" w:hAnsi="Times New Roman" w:cs="Times New Roman"/>
          <w:b/>
          <w:bCs/>
          <w:lang w:eastAsia="cs-CZ"/>
        </w:rPr>
        <w:t>Relevant Geopolitical Theories Developed During the 21st Century</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 xml:space="preserve">According to the aforementioned studies, the limited number of actors able to carry out space missions was the main reason for a balanced international order. Over the past few decades, space activities have changed due to the growing participation of </w:t>
      </w:r>
      <w:proofErr w:type="gramStart"/>
      <w:r w:rsidRPr="0051590F">
        <w:rPr>
          <w:rFonts w:ascii="Times New Roman" w:eastAsia="Times New Roman" w:hAnsi="Times New Roman" w:cs="Times New Roman"/>
          <w:lang w:eastAsia="cs-CZ"/>
        </w:rPr>
        <w:t>non-state</w:t>
      </w:r>
      <w:proofErr w:type="gramEnd"/>
      <w:r w:rsidRPr="0051590F">
        <w:rPr>
          <w:rFonts w:ascii="Times New Roman" w:eastAsia="Times New Roman" w:hAnsi="Times New Roman" w:cs="Times New Roman"/>
          <w:lang w:eastAsia="cs-CZ"/>
        </w:rPr>
        <w:t xml:space="preserve"> actors to the so-called space economy. The end of the Cold War era produced a structural change in international relations in the space sector. The traditional scheme of cooperation within the Western, or Eastern, bloc was overcome by a stronger multilateral cooperation, such as in </w:t>
      </w:r>
      <w:proofErr w:type="gramStart"/>
      <w:r w:rsidRPr="0051590F">
        <w:rPr>
          <w:rFonts w:ascii="Times New Roman" w:eastAsia="Times New Roman" w:hAnsi="Times New Roman" w:cs="Times New Roman"/>
          <w:lang w:eastAsia="cs-CZ"/>
        </w:rPr>
        <w:t>the</w:t>
      </w:r>
      <w:proofErr w:type="gramEnd"/>
      <w:r w:rsidRPr="0051590F">
        <w:rPr>
          <w:rFonts w:ascii="Times New Roman" w:eastAsia="Times New Roman" w:hAnsi="Times New Roman" w:cs="Times New Roman"/>
          <w:lang w:eastAsia="cs-CZ"/>
        </w:rPr>
        <w:t xml:space="preserve"> case of the International Space Station, the most important multilateral scientific project between 16 states, designed for providing conditions for permanent human presence and work in outer space.</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The critics of the liberal theory point out that, with the end of the Cold War, the international order based on the equilibrium between the superpowers system collapsed, and there is no reason for cooperation from a security and legal perspective but only from an economic one. Hays and Lutes (</w:t>
      </w:r>
      <w:hyperlink r:id="rId29" w:anchor="acrefore-9780190647926-e-40-bibItem-0042" w:history="1">
        <w:r w:rsidRPr="0051590F">
          <w:rPr>
            <w:rFonts w:ascii="Times New Roman" w:eastAsia="Times New Roman" w:hAnsi="Times New Roman" w:cs="Times New Roman"/>
            <w:smallCaps/>
            <w:lang w:eastAsia="cs-CZ"/>
          </w:rPr>
          <w:t>2007</w:t>
        </w:r>
      </w:hyperlink>
      <w:r w:rsidRPr="0051590F">
        <w:rPr>
          <w:rFonts w:ascii="Times New Roman" w:eastAsia="Times New Roman" w:hAnsi="Times New Roman" w:cs="Times New Roman"/>
          <w:lang w:eastAsia="cs-CZ"/>
        </w:rPr>
        <w:t xml:space="preserve">) underline that the passage from bilateralism to multilateralism dilutes the power from a political and legal perspective. According to these authors, the real objective of space activities is the </w:t>
      </w:r>
      <w:r w:rsidRPr="0051590F">
        <w:rPr>
          <w:rFonts w:ascii="Times New Roman" w:eastAsia="Times New Roman" w:hAnsi="Times New Roman" w:cs="Times New Roman"/>
          <w:lang w:eastAsia="cs-CZ"/>
        </w:rPr>
        <w:lastRenderedPageBreak/>
        <w:t>wealth of population, to be gained through scientific cooperation (Hays &amp; Lutes, </w:t>
      </w:r>
      <w:hyperlink r:id="rId30" w:anchor="acrefore-9780190647926-e-40-bibItem-0042" w:history="1">
        <w:r w:rsidRPr="0051590F">
          <w:rPr>
            <w:rFonts w:ascii="Times New Roman" w:eastAsia="Times New Roman" w:hAnsi="Times New Roman" w:cs="Times New Roman"/>
            <w:smallCaps/>
            <w:lang w:eastAsia="cs-CZ"/>
          </w:rPr>
          <w:t>2007</w:t>
        </w:r>
      </w:hyperlink>
      <w:r w:rsidRPr="0051590F">
        <w:rPr>
          <w:rFonts w:ascii="Times New Roman" w:eastAsia="Times New Roman" w:hAnsi="Times New Roman" w:cs="Times New Roman"/>
          <w:lang w:eastAsia="cs-CZ"/>
        </w:rPr>
        <w:t>). This opinion is, however, partial, because it does not consider the relevant aspects of the legal elements of new applications, military applications, and dual use technologies.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It is true that the dual hegemony of the Cold War is terminated; however, new states have emerged and gained a prominent role in the international arena, designing a transition from a bipolar to a multipolar world. As Peter (</w:t>
      </w:r>
      <w:hyperlink r:id="rId31" w:anchor="acrefore-9780190647926-e-40-bibItem-0068" w:history="1">
        <w:r w:rsidRPr="0051590F">
          <w:rPr>
            <w:rFonts w:ascii="Times New Roman" w:eastAsia="Times New Roman" w:hAnsi="Times New Roman" w:cs="Times New Roman"/>
            <w:smallCaps/>
            <w:lang w:eastAsia="cs-CZ"/>
          </w:rPr>
          <w:t>2006</w:t>
        </w:r>
      </w:hyperlink>
      <w:r w:rsidRPr="0051590F">
        <w:rPr>
          <w:rFonts w:ascii="Times New Roman" w:eastAsia="Times New Roman" w:hAnsi="Times New Roman" w:cs="Times New Roman"/>
          <w:lang w:eastAsia="cs-CZ"/>
        </w:rPr>
        <w:t>) correctly highlights, the axes of bilateral and multilateral cooperation are evolving, disappearing, and reconstituting. For example, new forms of bilateral cooperation have affected the relations between China and Argentina or Brazil (Peter, </w:t>
      </w:r>
      <w:hyperlink r:id="rId32" w:anchor="acrefore-9780190647926-e-40-bibItem-0068" w:history="1">
        <w:r w:rsidRPr="0051590F">
          <w:rPr>
            <w:rFonts w:ascii="Times New Roman" w:eastAsia="Times New Roman" w:hAnsi="Times New Roman" w:cs="Times New Roman"/>
            <w:smallCaps/>
            <w:lang w:eastAsia="cs-CZ"/>
          </w:rPr>
          <w:t>2006</w:t>
        </w:r>
      </w:hyperlink>
      <w:r w:rsidRPr="0051590F">
        <w:rPr>
          <w:rFonts w:ascii="Times New Roman" w:eastAsia="Times New Roman" w:hAnsi="Times New Roman" w:cs="Times New Roman"/>
          <w:lang w:eastAsia="cs-CZ"/>
        </w:rPr>
        <w:t>).</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 xml:space="preserve">Another relevant theory is critical astropolitics, which is based on social constructivism and according to which political subjects emerge from power relations. The theory criticizes realist and liberal theories because they underestimate the consequences of a </w:t>
      </w:r>
      <w:proofErr w:type="gramStart"/>
      <w:r w:rsidRPr="0051590F">
        <w:rPr>
          <w:rFonts w:ascii="Times New Roman" w:eastAsia="Times New Roman" w:hAnsi="Times New Roman" w:cs="Times New Roman"/>
          <w:lang w:eastAsia="cs-CZ"/>
        </w:rPr>
        <w:t>possible U.S.</w:t>
      </w:r>
      <w:proofErr w:type="gramEnd"/>
      <w:r w:rsidRPr="0051590F">
        <w:rPr>
          <w:rFonts w:ascii="Times New Roman" w:eastAsia="Times New Roman" w:hAnsi="Times New Roman" w:cs="Times New Roman"/>
          <w:lang w:eastAsia="cs-CZ"/>
        </w:rPr>
        <w:t xml:space="preserve"> hegemony in space on global security, without an effective regulatory framework and mechanism (Havercroft &amp; Duvall, </w:t>
      </w:r>
      <w:hyperlink r:id="rId33" w:anchor="acrefore-9780190647926-e-40-bibItem-0041" w:history="1">
        <w:r w:rsidRPr="0051590F">
          <w:rPr>
            <w:rFonts w:ascii="Times New Roman" w:eastAsia="Times New Roman" w:hAnsi="Times New Roman" w:cs="Times New Roman"/>
            <w:smallCaps/>
            <w:lang w:eastAsia="cs-CZ"/>
          </w:rPr>
          <w:t>2009</w:t>
        </w:r>
      </w:hyperlink>
      <w:r w:rsidRPr="0051590F">
        <w:rPr>
          <w:rFonts w:ascii="Times New Roman" w:eastAsia="Times New Roman" w:hAnsi="Times New Roman" w:cs="Times New Roman"/>
          <w:lang w:eastAsia="cs-CZ"/>
        </w:rPr>
        <w:t>).</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Another theory regards the so-called meta-geopolitics of outer space, which adopts a multidimensional view of power, including soft-power instruments. It considers demographical projections, public health issues, and other factors of potential development to explore whether a state will continue to have a specific geopolitical status or if it will change in the near future. Al Rodhan (</w:t>
      </w:r>
      <w:hyperlink r:id="rId34" w:anchor="acrefore-9780190647926-e-40-bibItem-0024" w:history="1">
        <w:r w:rsidRPr="0051590F">
          <w:rPr>
            <w:rFonts w:ascii="Times New Roman" w:eastAsia="Times New Roman" w:hAnsi="Times New Roman" w:cs="Times New Roman"/>
            <w:smallCaps/>
            <w:lang w:eastAsia="cs-CZ"/>
          </w:rPr>
          <w:t>2012</w:t>
        </w:r>
      </w:hyperlink>
      <w:r w:rsidRPr="0051590F">
        <w:rPr>
          <w:rFonts w:ascii="Times New Roman" w:eastAsia="Times New Roman" w:hAnsi="Times New Roman" w:cs="Times New Roman"/>
          <w:lang w:eastAsia="cs-CZ"/>
        </w:rPr>
        <w:t>) explains that, with its theory of “symbiotic realism,” in a globalized and interdependent world, problems can only be solved through multilateral action and cooperation, involving not only the concerned states but also nongovernmental organizations and stakeholders.</w:t>
      </w:r>
    </w:p>
    <w:p w:rsidR="0051590F" w:rsidRPr="00F502EF" w:rsidRDefault="00F502EF" w:rsidP="0051590F">
      <w:pPr>
        <w:shd w:val="clear" w:color="auto" w:fill="FFFFFF"/>
        <w:spacing w:after="240" w:line="240" w:lineRule="auto"/>
        <w:jc w:val="both"/>
        <w:outlineLvl w:val="1"/>
        <w:rPr>
          <w:rFonts w:ascii="Times New Roman" w:eastAsia="Times New Roman" w:hAnsi="Times New Roman" w:cs="Times New Roman"/>
          <w:b/>
          <w:bCs/>
          <w:kern w:val="36"/>
          <w:lang w:eastAsia="cs-CZ"/>
        </w:rPr>
      </w:pPr>
      <w:r>
        <w:rPr>
          <w:rFonts w:ascii="Times New Roman" w:eastAsia="Times New Roman" w:hAnsi="Times New Roman" w:cs="Times New Roman"/>
          <w:b/>
          <w:bCs/>
          <w:kern w:val="36"/>
          <w:lang w:eastAsia="cs-CZ"/>
        </w:rPr>
        <w:t xml:space="preserve">6. </w:t>
      </w:r>
      <w:r w:rsidR="0051590F" w:rsidRPr="00F502EF">
        <w:rPr>
          <w:rFonts w:ascii="Times New Roman" w:eastAsia="Times New Roman" w:hAnsi="Times New Roman" w:cs="Times New Roman"/>
          <w:b/>
          <w:bCs/>
          <w:kern w:val="36"/>
          <w:lang w:eastAsia="cs-CZ"/>
        </w:rPr>
        <w:t>Geopolitics and Regulation of Space Activities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Once competition in outer space started, almost simultaneously the fundamental principles of law applicable to space activities emerged. International geopolitical dynamics were reflected in space regulations developed during the Cold War era, which fixed the basis for the evolution of space activities until today.</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After the launch of Sputnik 1 in 1957, which is conventionally understood as the moment of the beginning of the space race, it was clear that some regulation for the use of outer space for peaceful purposes was necessary (Christol, </w:t>
      </w:r>
      <w:hyperlink r:id="rId35" w:anchor="acrefore-9780190647926-e-40-bibItem-0026" w:history="1">
        <w:r w:rsidRPr="0051590F">
          <w:rPr>
            <w:rFonts w:ascii="Times New Roman" w:eastAsia="Times New Roman" w:hAnsi="Times New Roman" w:cs="Times New Roman"/>
            <w:smallCaps/>
            <w:lang w:eastAsia="cs-CZ"/>
          </w:rPr>
          <w:t>1982</w:t>
        </w:r>
      </w:hyperlink>
      <w:r w:rsidRPr="0051590F">
        <w:rPr>
          <w:rFonts w:ascii="Times New Roman" w:eastAsia="Times New Roman" w:hAnsi="Times New Roman" w:cs="Times New Roman"/>
          <w:lang w:eastAsia="cs-CZ"/>
        </w:rPr>
        <w:t>; Jenks, </w:t>
      </w:r>
      <w:hyperlink r:id="rId36" w:anchor="acrefore-9780190647926-e-40-bibItem-0052" w:history="1">
        <w:r w:rsidRPr="0051590F">
          <w:rPr>
            <w:rFonts w:ascii="Times New Roman" w:eastAsia="Times New Roman" w:hAnsi="Times New Roman" w:cs="Times New Roman"/>
            <w:smallCaps/>
            <w:lang w:eastAsia="cs-CZ"/>
          </w:rPr>
          <w:t>1965</w:t>
        </w:r>
      </w:hyperlink>
      <w:r w:rsidRPr="0051590F">
        <w:rPr>
          <w:rFonts w:ascii="Times New Roman" w:eastAsia="Times New Roman" w:hAnsi="Times New Roman" w:cs="Times New Roman"/>
          <w:lang w:eastAsia="cs-CZ"/>
        </w:rPr>
        <w:t>; Lachs, </w:t>
      </w:r>
      <w:hyperlink r:id="rId37" w:anchor="acrefore-9780190647926-e-40-bibItem-0056" w:history="1">
        <w:r w:rsidRPr="0051590F">
          <w:rPr>
            <w:rFonts w:ascii="Times New Roman" w:eastAsia="Times New Roman" w:hAnsi="Times New Roman" w:cs="Times New Roman"/>
            <w:smallCaps/>
            <w:lang w:eastAsia="cs-CZ"/>
          </w:rPr>
          <w:t>1964</w:t>
        </w:r>
      </w:hyperlink>
      <w:r w:rsidRPr="0051590F">
        <w:rPr>
          <w:rFonts w:ascii="Times New Roman" w:eastAsia="Times New Roman" w:hAnsi="Times New Roman" w:cs="Times New Roman"/>
          <w:lang w:eastAsia="cs-CZ"/>
        </w:rPr>
        <w:t>; Zhukov,</w:t>
      </w:r>
      <w:hyperlink r:id="rId38" w:anchor="acrefore-9780190647926-e-40-bibItem-0088" w:history="1">
        <w:r w:rsidRPr="0051590F">
          <w:rPr>
            <w:rFonts w:ascii="Times New Roman" w:eastAsia="Times New Roman" w:hAnsi="Times New Roman" w:cs="Times New Roman"/>
            <w:smallCaps/>
            <w:lang w:eastAsia="cs-CZ"/>
          </w:rPr>
          <w:t>1978</w:t>
        </w:r>
      </w:hyperlink>
      <w:r w:rsidRPr="0051590F">
        <w:rPr>
          <w:rFonts w:ascii="Times New Roman" w:eastAsia="Times New Roman" w:hAnsi="Times New Roman" w:cs="Times New Roman"/>
          <w:lang w:eastAsia="cs-CZ"/>
        </w:rPr>
        <w:t>). Both the United States and the USSR agreed on the great prospects opening for humankind as a result of the entry of a man into outer space and that it would be better to reach decisions on a multilateral level.</w:t>
      </w:r>
    </w:p>
    <w:p w:rsidR="0051590F" w:rsidRPr="00F502EF" w:rsidRDefault="00F502EF" w:rsidP="0051590F">
      <w:pPr>
        <w:shd w:val="clear" w:color="auto" w:fill="FFFFFF"/>
        <w:spacing w:before="300" w:after="225" w:line="240" w:lineRule="auto"/>
        <w:jc w:val="both"/>
        <w:outlineLvl w:val="1"/>
        <w:rPr>
          <w:rFonts w:ascii="Times New Roman" w:eastAsia="Times New Roman" w:hAnsi="Times New Roman" w:cs="Times New Roman"/>
          <w:b/>
          <w:bCs/>
          <w:lang w:eastAsia="cs-CZ"/>
        </w:rPr>
      </w:pPr>
      <w:r>
        <w:rPr>
          <w:rFonts w:ascii="Times New Roman" w:eastAsia="Times New Roman" w:hAnsi="Times New Roman" w:cs="Times New Roman"/>
          <w:b/>
          <w:bCs/>
          <w:lang w:eastAsia="cs-CZ"/>
        </w:rPr>
        <w:t xml:space="preserve">7. </w:t>
      </w:r>
      <w:r w:rsidR="0051590F" w:rsidRPr="00F502EF">
        <w:rPr>
          <w:rFonts w:ascii="Times New Roman" w:eastAsia="Times New Roman" w:hAnsi="Times New Roman" w:cs="Times New Roman"/>
          <w:b/>
          <w:bCs/>
          <w:lang w:eastAsia="cs-CZ"/>
        </w:rPr>
        <w:t>The Role of the United Nations Committee on the Peaceful Uses of Outer Space in the Development of Space Law</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On initiative of the United States and the USSR, the UN General Assembly, with its Resolution 1348 (XIII) of December 13, 1958, instituted an ad hoc Committee on the Peaceful Uses of Outer Space (COPUOS), composed of 18 members. On December 12, 1959, with Resolution 1472 (XIV), the COPUOS acquired the status of a permanent subsidiary body of the General Assembly, according to Articles 7 and 22 of the UN Charter.</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 xml:space="preserve">Since its establishment, the membership of the COPUOS has continued to expand. In addition, some international organizations, including both intergovernmental and nongovernmental organizations, have observer status within the COPUOS and its subcommittees (Scientific and Technical Subcommittee and Legal Subcommittee). The mandate of the Committee aims at strengthening the international legal regime governing outer space and improving conditions for expanding international cooperation in this sector. The mandate also specifies that the Committee should support efforts at the national, regional, and global levels, including those of entities of the UN system and international space-related entities, to maximize the benefits of </w:t>
      </w:r>
      <w:proofErr w:type="gramStart"/>
      <w:r w:rsidRPr="0051590F">
        <w:rPr>
          <w:rFonts w:ascii="Times New Roman" w:eastAsia="Times New Roman" w:hAnsi="Times New Roman" w:cs="Times New Roman"/>
          <w:lang w:eastAsia="cs-CZ"/>
        </w:rPr>
        <w:t>the</w:t>
      </w:r>
      <w:proofErr w:type="gramEnd"/>
      <w:r w:rsidRPr="0051590F">
        <w:rPr>
          <w:rFonts w:ascii="Times New Roman" w:eastAsia="Times New Roman" w:hAnsi="Times New Roman" w:cs="Times New Roman"/>
          <w:lang w:eastAsia="cs-CZ"/>
        </w:rPr>
        <w:t xml:space="preserve"> use of space science and technology and their applications. The main international provisions, binding and not binding, dealing with space activities have been drafted and discussed in the context of the Committee.</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lastRenderedPageBreak/>
        <w:t>By examining the activities of the COPUOS, with specific attention to its accomplishments in the field of international space law, relevant doctrine identifies three evolutionary phases. The first phase, called the law-making era, began with the creation of the Committee and ended in the 1980s, while the second phase was characterized by the adoption of soft-law instruments and ended in the middle of 1990s. The third, and current, phase is characterized by efforts to broaden the acceptance of the UN space treaties and to assess their application (Marchisio, </w:t>
      </w:r>
      <w:hyperlink r:id="rId39" w:anchor="acrefore-9780190647926-e-40-bibItem-0015" w:history="1">
        <w:r w:rsidRPr="0051590F">
          <w:rPr>
            <w:rFonts w:ascii="Times New Roman" w:eastAsia="Times New Roman" w:hAnsi="Times New Roman" w:cs="Times New Roman"/>
            <w:smallCaps/>
            <w:lang w:eastAsia="cs-CZ"/>
          </w:rPr>
          <w:t>2005</w:t>
        </w:r>
      </w:hyperlink>
      <w:r w:rsidRPr="0051590F">
        <w:rPr>
          <w:rFonts w:ascii="Times New Roman" w:eastAsia="Times New Roman" w:hAnsi="Times New Roman" w:cs="Times New Roman"/>
          <w:lang w:eastAsia="cs-CZ"/>
        </w:rPr>
        <w:t>).</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The first important legal instrument discussed within the COPUOS was a Resolution on International Cooperation in the Peaceful Uses of Outer Space, subsequently adopted by the UN General Assembly on December 20, 1961. Resolution 1721 (XVI) recommends states follow the principles of international law during their exploration and use of outer space and emphasizes the freedom of exploration and the prohibition of national appropriation. The Resolution calls upon states launching objects into orbit, or beyond, to furnish information promptly to the COPUOS, through the secretary-general, for the registration of launchings. It further requests that the secretary-general maintain a public registry of the information furnished.</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 xml:space="preserve">A few years later, the Committee discussed and approved a declaration of principles to define a common legal basis for the peaceful use and exploration of outer space. On December 13, 1963, the UN General Assembly adopted Resolution 1962 (XVIII), Declaration of Legal Principles Governing the Activities of States in the Exploration and Use of Outer Space. The Resolution recognizes the common interest of all humankind in the progress of the exploration and use of outer space for peaceful purposes and for the benefit of states irrespective of their degree of economic or scientific development. The Declaration establishes the fundamental principles for conducting space activities, such as the freedom of exploration and use by all states on a basis of equality and in accordance with international law; the prohibition of national appropriation by claim of sovereignty, by means of </w:t>
      </w:r>
      <w:proofErr w:type="gramStart"/>
      <w:r w:rsidRPr="0051590F">
        <w:rPr>
          <w:rFonts w:ascii="Times New Roman" w:eastAsia="Times New Roman" w:hAnsi="Times New Roman" w:cs="Times New Roman"/>
          <w:lang w:eastAsia="cs-CZ"/>
        </w:rPr>
        <w:t>use</w:t>
      </w:r>
      <w:proofErr w:type="gramEnd"/>
      <w:r w:rsidRPr="0051590F">
        <w:rPr>
          <w:rFonts w:ascii="Times New Roman" w:eastAsia="Times New Roman" w:hAnsi="Times New Roman" w:cs="Times New Roman"/>
          <w:lang w:eastAsia="cs-CZ"/>
        </w:rPr>
        <w:t xml:space="preserve"> or occupation, or by any other means; the international responsibility for national activities in outer space, whether carried out by governmental agencies or by nongovernmental entities; the principle of due regard for the corresponding interests of other states; the duty to register an object launched into outer space and exercise jurisdiction and control over such object; the principle of liability for damages produced by such object; and the duty to assist the astronauts, as envoys of humankind in outer space, in the event of accident, distress, or emergency landing on the territory of a foreign state or on the high seas.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The reaching of a consensus on the adoption of a few legal principles was a fundamental step in the evolution of international space law. A few months before the adoption of the Declaration, another important legal instrument was adopted thanks to the achievement of a compromise between the United States and the USSR. On August 5, 1963, the Treaty Banning Nuclear Weapons Tests in the Atmosphere, in Outer Space, and Under Water (Nuclear Test-Ban Treaty), which banned all tests of nuclear weapons in outer space, was enacted. The Treaty contained the first rules prohibiting nuclear explosions in outer space and thus aimed at protecting the space environment and promote the peaceful use of outer space. Furthermore, the reaching of an agreement on this matter between the two superpowers produced a more favorable climate for détente and for the attainment of other legal and political compromises.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Following the adoption of the 1963 Declaration of Principles, the General Assembly requested the COPUOS to consider the incorporation of the principles in an international agreement. In 1966, the USSR submitted a draft text of a treaty on principles, followed by a counterproposal by the United States. The Legal Subcommittee then established a working group to discuss both proposals and to define a group of articles to be agreed on by all parties. After a subsequent discussion during the session of the main committee, an agreement on the text was reached (Hobe, Schmidt-Tedd, &amp; Schrogl, </w:t>
      </w:r>
      <w:hyperlink r:id="rId40" w:anchor="acrefore-9780190647926-e-40-bibItem-0046" w:history="1">
        <w:r w:rsidRPr="0051590F">
          <w:rPr>
            <w:rFonts w:ascii="Times New Roman" w:eastAsia="Times New Roman" w:hAnsi="Times New Roman" w:cs="Times New Roman"/>
            <w:smallCaps/>
            <w:lang w:eastAsia="cs-CZ"/>
          </w:rPr>
          <w:t>2009</w:t>
        </w:r>
      </w:hyperlink>
      <w:r w:rsidRPr="0051590F">
        <w:rPr>
          <w:rFonts w:ascii="Times New Roman" w:eastAsia="Times New Roman" w:hAnsi="Times New Roman" w:cs="Times New Roman"/>
          <w:lang w:eastAsia="cs-CZ"/>
        </w:rPr>
        <w:t>).</w:t>
      </w:r>
    </w:p>
    <w:p w:rsidR="00D76FD4" w:rsidRDefault="00D76FD4" w:rsidP="0051590F">
      <w:pPr>
        <w:shd w:val="clear" w:color="auto" w:fill="FFFFFF"/>
        <w:spacing w:before="300" w:after="225" w:line="240" w:lineRule="auto"/>
        <w:jc w:val="both"/>
        <w:outlineLvl w:val="1"/>
        <w:rPr>
          <w:rFonts w:ascii="Times New Roman" w:eastAsia="Times New Roman" w:hAnsi="Times New Roman" w:cs="Times New Roman"/>
          <w:b/>
          <w:bCs/>
          <w:lang w:eastAsia="cs-CZ"/>
        </w:rPr>
      </w:pPr>
    </w:p>
    <w:p w:rsidR="00D76FD4" w:rsidRDefault="00D76FD4" w:rsidP="0051590F">
      <w:pPr>
        <w:shd w:val="clear" w:color="auto" w:fill="FFFFFF"/>
        <w:spacing w:before="300" w:after="225" w:line="240" w:lineRule="auto"/>
        <w:jc w:val="both"/>
        <w:outlineLvl w:val="1"/>
        <w:rPr>
          <w:rFonts w:ascii="Times New Roman" w:eastAsia="Times New Roman" w:hAnsi="Times New Roman" w:cs="Times New Roman"/>
          <w:b/>
          <w:bCs/>
          <w:lang w:eastAsia="cs-CZ"/>
        </w:rPr>
      </w:pPr>
    </w:p>
    <w:p w:rsidR="0051590F" w:rsidRPr="00F502EF" w:rsidRDefault="00F502EF" w:rsidP="0051590F">
      <w:pPr>
        <w:shd w:val="clear" w:color="auto" w:fill="FFFFFF"/>
        <w:spacing w:before="300" w:after="225" w:line="240" w:lineRule="auto"/>
        <w:jc w:val="both"/>
        <w:outlineLvl w:val="1"/>
        <w:rPr>
          <w:rFonts w:ascii="Times New Roman" w:eastAsia="Times New Roman" w:hAnsi="Times New Roman" w:cs="Times New Roman"/>
          <w:b/>
          <w:bCs/>
          <w:lang w:eastAsia="cs-CZ"/>
        </w:rPr>
      </w:pPr>
      <w:r>
        <w:rPr>
          <w:rFonts w:ascii="Times New Roman" w:eastAsia="Times New Roman" w:hAnsi="Times New Roman" w:cs="Times New Roman"/>
          <w:b/>
          <w:bCs/>
          <w:lang w:eastAsia="cs-CZ"/>
        </w:rPr>
        <w:lastRenderedPageBreak/>
        <w:t xml:space="preserve">8. </w:t>
      </w:r>
      <w:r w:rsidR="0051590F" w:rsidRPr="00F502EF">
        <w:rPr>
          <w:rFonts w:ascii="Times New Roman" w:eastAsia="Times New Roman" w:hAnsi="Times New Roman" w:cs="Times New Roman"/>
          <w:b/>
          <w:bCs/>
          <w:lang w:eastAsia="cs-CZ"/>
        </w:rPr>
        <w:t>The International Rules and Principles on Space Activities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The OST, opened for signature on January 27, 1967, and entered into force on October 10 of the same year, is the main legal instrument that codifies the general principles of international law of space activities, and it is the result of a reciprocal understanding between the United States and the USSR. The legal regime of space as outlined by the OST is that of a </w:t>
      </w:r>
      <w:r w:rsidRPr="0051590F">
        <w:rPr>
          <w:rFonts w:ascii="Times New Roman" w:eastAsia="Times New Roman" w:hAnsi="Times New Roman" w:cs="Times New Roman"/>
          <w:i/>
          <w:iCs/>
          <w:lang w:eastAsia="cs-CZ"/>
        </w:rPr>
        <w:t>res communes omnium</w:t>
      </w:r>
      <w:r w:rsidRPr="0051590F">
        <w:rPr>
          <w:rFonts w:ascii="Times New Roman" w:eastAsia="Times New Roman" w:hAnsi="Times New Roman" w:cs="Times New Roman"/>
          <w:lang w:eastAsia="cs-CZ"/>
        </w:rPr>
        <w:t>, a common good in which the principle of free access applies, although subject to a few conditions such as the conduct of activities in accordance with the interests of all states, without discrimination based on the degree of economic or scientific development, and the condition of the peaceful nature of the activity. The free exploration and use of outer space are prerogatives of all humanity and must be conducted “with due regards to the corresponding interests of all other states.”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 xml:space="preserve">In addition to the principles of free access, exploration, and use, the OST established the prohibition of appropriation of outer space, including the Moon and other celestial bodies, by claim of sovereignty, by means of </w:t>
      </w:r>
      <w:proofErr w:type="gramStart"/>
      <w:r w:rsidRPr="0051590F">
        <w:rPr>
          <w:rFonts w:ascii="Times New Roman" w:eastAsia="Times New Roman" w:hAnsi="Times New Roman" w:cs="Times New Roman"/>
          <w:lang w:eastAsia="cs-CZ"/>
        </w:rPr>
        <w:t>use</w:t>
      </w:r>
      <w:proofErr w:type="gramEnd"/>
      <w:r w:rsidRPr="0051590F">
        <w:rPr>
          <w:rFonts w:ascii="Times New Roman" w:eastAsia="Times New Roman" w:hAnsi="Times New Roman" w:cs="Times New Roman"/>
          <w:lang w:eastAsia="cs-CZ"/>
        </w:rPr>
        <w:t xml:space="preserve"> or occupation, or by any other means (Art. II); the compliance of space activities with international law (Art. III); and the prohibition of placing weapons of mass destruction in orbit (Art. IV). Furthermore, other obligations were established. Articles VI and VII prefigure the legal regime concerning state responsibility and liability for activities conducted in outer space, and Article VIII concerns the registration of space objects (Hobe et al., </w:t>
      </w:r>
      <w:hyperlink r:id="rId41" w:anchor="acrefore-9780190647926-e-40-bibItem-0046" w:history="1">
        <w:r w:rsidRPr="0051590F">
          <w:rPr>
            <w:rFonts w:ascii="Times New Roman" w:eastAsia="Times New Roman" w:hAnsi="Times New Roman" w:cs="Times New Roman"/>
            <w:smallCaps/>
            <w:lang w:eastAsia="cs-CZ"/>
          </w:rPr>
          <w:t>2009</w:t>
        </w:r>
      </w:hyperlink>
      <w:r w:rsidRPr="0051590F">
        <w:rPr>
          <w:rFonts w:ascii="Times New Roman" w:eastAsia="Times New Roman" w:hAnsi="Times New Roman" w:cs="Times New Roman"/>
          <w:lang w:eastAsia="cs-CZ"/>
        </w:rPr>
        <w:t>). /abridged…/</w:t>
      </w:r>
    </w:p>
    <w:p w:rsidR="0051590F" w:rsidRPr="00F502EF" w:rsidRDefault="00F502EF" w:rsidP="0051590F">
      <w:pPr>
        <w:shd w:val="clear" w:color="auto" w:fill="FFFFFF"/>
        <w:spacing w:before="300" w:after="225" w:line="240" w:lineRule="auto"/>
        <w:jc w:val="both"/>
        <w:outlineLvl w:val="1"/>
        <w:rPr>
          <w:rFonts w:ascii="Times New Roman" w:eastAsia="Times New Roman" w:hAnsi="Times New Roman" w:cs="Times New Roman"/>
          <w:b/>
          <w:bCs/>
          <w:lang w:eastAsia="cs-CZ"/>
        </w:rPr>
      </w:pPr>
      <w:r>
        <w:rPr>
          <w:rFonts w:ascii="Times New Roman" w:eastAsia="Times New Roman" w:hAnsi="Times New Roman" w:cs="Times New Roman"/>
          <w:b/>
          <w:bCs/>
          <w:lang w:eastAsia="cs-CZ"/>
        </w:rPr>
        <w:t xml:space="preserve">9. </w:t>
      </w:r>
      <w:r w:rsidR="0051590F" w:rsidRPr="00F502EF">
        <w:rPr>
          <w:rFonts w:ascii="Times New Roman" w:eastAsia="Times New Roman" w:hAnsi="Times New Roman" w:cs="Times New Roman"/>
          <w:b/>
          <w:bCs/>
          <w:lang w:eastAsia="cs-CZ"/>
        </w:rPr>
        <w:t>From International Rules to National Legislation</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Space activities are increasingly relevant for the well-being of humankind. Many services provided by public and private companies, such as satellite broadcasting, weather forecasts, or satellite navigation, have a strong socioeconomic impact. In addition, the protection of the environment in outer space has become a central theme in the international debate, with a focus on mitigation and removal of space debris. The cited trend concerning private activities is not a novelty in the space sector, but, compared to a few years ago, there are many more actors conducting activities in outer space (Hobe, </w:t>
      </w:r>
      <w:hyperlink r:id="rId42" w:anchor="acrefore-9780190647926-e-40-bibItem-0044" w:history="1">
        <w:r w:rsidRPr="0051590F">
          <w:rPr>
            <w:rFonts w:ascii="Times New Roman" w:eastAsia="Times New Roman" w:hAnsi="Times New Roman" w:cs="Times New Roman"/>
            <w:smallCaps/>
            <w:lang w:eastAsia="cs-CZ"/>
          </w:rPr>
          <w:t>2010</w:t>
        </w:r>
      </w:hyperlink>
      <w:r w:rsidRPr="0051590F">
        <w:rPr>
          <w:rFonts w:ascii="Times New Roman" w:eastAsia="Times New Roman" w:hAnsi="Times New Roman" w:cs="Times New Roman"/>
          <w:lang w:eastAsia="cs-CZ"/>
        </w:rPr>
        <w:t>). The growing involvement of private actors in space activities has led to new forms of marketing of goods and services that have prompted regulation, especially at the national level. This does not exclude that, at the international level, the states have full responsibility for the activities carried out in outer space and for the damages deriving from them.</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 xml:space="preserve">The issues previously described are mainly regulated by a growing number of national acts, adopted to regulate space activities on an internal level. Since the beginning of space activities, many states have enacted national space regulatory frameworks but, after the end of the United </w:t>
      </w:r>
      <w:proofErr w:type="gramStart"/>
      <w:r w:rsidRPr="0051590F">
        <w:rPr>
          <w:rFonts w:ascii="Times New Roman" w:eastAsia="Times New Roman" w:hAnsi="Times New Roman" w:cs="Times New Roman"/>
          <w:lang w:eastAsia="cs-CZ"/>
        </w:rPr>
        <w:t>States–USSR</w:t>
      </w:r>
      <w:proofErr w:type="gramEnd"/>
      <w:r w:rsidRPr="0051590F">
        <w:rPr>
          <w:rFonts w:ascii="Times New Roman" w:eastAsia="Times New Roman" w:hAnsi="Times New Roman" w:cs="Times New Roman"/>
          <w:lang w:eastAsia="cs-CZ"/>
        </w:rPr>
        <w:t xml:space="preserve"> competition, there was an exponential growth of such provisions (Freeland, </w:t>
      </w:r>
      <w:hyperlink r:id="rId43" w:anchor="acrefore-9780190647926-e-40-bibItem-0037" w:history="1">
        <w:r w:rsidRPr="0051590F">
          <w:rPr>
            <w:rFonts w:ascii="Times New Roman" w:eastAsia="Times New Roman" w:hAnsi="Times New Roman" w:cs="Times New Roman"/>
            <w:smallCaps/>
            <w:lang w:eastAsia="cs-CZ"/>
          </w:rPr>
          <w:t>2012</w:t>
        </w:r>
      </w:hyperlink>
      <w:r w:rsidRPr="0051590F">
        <w:rPr>
          <w:rFonts w:ascii="Times New Roman" w:eastAsia="Times New Roman" w:hAnsi="Times New Roman" w:cs="Times New Roman"/>
          <w:lang w:eastAsia="cs-CZ"/>
        </w:rPr>
        <w:t>; Hobe, Schmidt-Tedd, &amp; Schrogl, </w:t>
      </w:r>
      <w:hyperlink r:id="rId44" w:anchor="acrefore-9780190647926-e-40-bibItem-0045" w:history="1">
        <w:r w:rsidRPr="0051590F">
          <w:rPr>
            <w:rFonts w:ascii="Times New Roman" w:eastAsia="Times New Roman" w:hAnsi="Times New Roman" w:cs="Times New Roman"/>
            <w:smallCaps/>
            <w:lang w:eastAsia="cs-CZ"/>
          </w:rPr>
          <w:t>2006</w:t>
        </w:r>
      </w:hyperlink>
      <w:r w:rsidRPr="0051590F">
        <w:rPr>
          <w:rFonts w:ascii="Times New Roman" w:eastAsia="Times New Roman" w:hAnsi="Times New Roman" w:cs="Times New Roman"/>
          <w:lang w:eastAsia="cs-CZ"/>
        </w:rPr>
        <w:t>; Jakhu, </w:t>
      </w:r>
      <w:hyperlink r:id="rId45" w:anchor="acrefore-9780190647926-e-40-bibItem-0051" w:history="1">
        <w:r w:rsidRPr="0051590F">
          <w:rPr>
            <w:rFonts w:ascii="Times New Roman" w:eastAsia="Times New Roman" w:hAnsi="Times New Roman" w:cs="Times New Roman"/>
            <w:smallCaps/>
            <w:lang w:eastAsia="cs-CZ"/>
          </w:rPr>
          <w:t>2010</w:t>
        </w:r>
      </w:hyperlink>
      <w:r w:rsidRPr="0051590F">
        <w:rPr>
          <w:rFonts w:ascii="Times New Roman" w:eastAsia="Times New Roman" w:hAnsi="Times New Roman" w:cs="Times New Roman"/>
          <w:lang w:eastAsia="cs-CZ"/>
        </w:rPr>
        <w:t>; Marboe, </w:t>
      </w:r>
      <w:hyperlink r:id="rId46" w:anchor="acrefore-9780190647926-e-40-bibItem-0058" w:history="1">
        <w:r w:rsidRPr="0051590F">
          <w:rPr>
            <w:rFonts w:ascii="Times New Roman" w:eastAsia="Times New Roman" w:hAnsi="Times New Roman" w:cs="Times New Roman"/>
            <w:smallCaps/>
            <w:lang w:eastAsia="cs-CZ"/>
          </w:rPr>
          <w:t>2015</w:t>
        </w:r>
      </w:hyperlink>
      <w:r w:rsidRPr="0051590F">
        <w:rPr>
          <w:rFonts w:ascii="Times New Roman" w:eastAsia="Times New Roman" w:hAnsi="Times New Roman" w:cs="Times New Roman"/>
          <w:lang w:eastAsia="cs-CZ"/>
        </w:rPr>
        <w:t>; von der Dunk, </w:t>
      </w:r>
      <w:hyperlink r:id="rId47" w:anchor="acrefore-9780190647926-e-40-bibItem-0086" w:history="1">
        <w:r w:rsidRPr="0051590F">
          <w:rPr>
            <w:rFonts w:ascii="Times New Roman" w:eastAsia="Times New Roman" w:hAnsi="Times New Roman" w:cs="Times New Roman"/>
            <w:smallCaps/>
            <w:lang w:eastAsia="cs-CZ"/>
          </w:rPr>
          <w:t>2011</w:t>
        </w:r>
      </w:hyperlink>
      <w:r w:rsidRPr="0051590F">
        <w:rPr>
          <w:rFonts w:ascii="Times New Roman" w:eastAsia="Times New Roman" w:hAnsi="Times New Roman" w:cs="Times New Roman"/>
          <w:lang w:eastAsia="cs-CZ"/>
        </w:rPr>
        <w:t>). National space legislation presents both pros and cons. The advantage to adopting national legal provisions is that they are detailed and define specific conducts. The disadvantage is that such regulations do not exist in every state. Moreover, the same concept could be differently interpreted due to specific national interests. Indeed, such national regulations present different contents and characters but have a common element: they are largely inspired by the general principles contained in international treaties on space activities.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 xml:space="preserve">In this sense, such regulatory frameworks aim at providing a regime for authorization and control of space activities, establishing a national register for the registration of objects launched into outer space, and defining procedures for compensation of damages caused to third parties. Legislation could define other particular aspects relevant for space activities, such as forms of compulsory insurance schemes to cover risks and potential damages; guarantees of environmental protection and debris mitigation and removal; standards to guarantee the safety of activities; export control of sensitive technologies; forms of incentives and derogation regarding the procedure for authorization; protection of intellectual property rights; transfer of ownership of an object already in orbit; and commercial activities, as in </w:t>
      </w:r>
      <w:proofErr w:type="gramStart"/>
      <w:r w:rsidRPr="0051590F">
        <w:rPr>
          <w:rFonts w:ascii="Times New Roman" w:eastAsia="Times New Roman" w:hAnsi="Times New Roman" w:cs="Times New Roman"/>
          <w:lang w:eastAsia="cs-CZ"/>
        </w:rPr>
        <w:t>the</w:t>
      </w:r>
      <w:proofErr w:type="gramEnd"/>
      <w:r w:rsidRPr="0051590F">
        <w:rPr>
          <w:rFonts w:ascii="Times New Roman" w:eastAsia="Times New Roman" w:hAnsi="Times New Roman" w:cs="Times New Roman"/>
          <w:lang w:eastAsia="cs-CZ"/>
        </w:rPr>
        <w:t xml:space="preserve"> case of small satellites, suborbital flights, or the exploitation of resources from asteroids.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lastRenderedPageBreak/>
        <w:t>The analysis of national regulatory frameworks shows two main categories of national acts. On the one side, states have adopted organic regulatory frameworks that, with different nuances, regulate all the possible issues of space activities; on the other side, states that have not adopted organic legal acts have preferred to enact one or more regulatory instruments to regulate specific activities to be conducted in outer space.</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From an institutional point of view, states conducting space activities have created institutional entities to support their space programs. These bodies can assume different legal forms, such as agencies, secretariats, or offices. Following the end of the Cold War, many states created their own space-dedicated bodies, mainly national space agencies. The proliferation of space agencies is a direct effect of the new geopolitical context (Peter, </w:t>
      </w:r>
      <w:hyperlink r:id="rId48" w:anchor="acrefore-9780190647926-e-40-bibItem-0068" w:history="1">
        <w:r w:rsidRPr="0051590F">
          <w:rPr>
            <w:rFonts w:ascii="Times New Roman" w:eastAsia="Times New Roman" w:hAnsi="Times New Roman" w:cs="Times New Roman"/>
            <w:smallCaps/>
            <w:lang w:eastAsia="cs-CZ"/>
          </w:rPr>
          <w:t>2006</w:t>
        </w:r>
      </w:hyperlink>
      <w:r w:rsidRPr="0051590F">
        <w:rPr>
          <w:rFonts w:ascii="Times New Roman" w:eastAsia="Times New Roman" w:hAnsi="Times New Roman" w:cs="Times New Roman"/>
          <w:lang w:eastAsia="cs-CZ"/>
        </w:rPr>
        <w:t>). This trend of institutionalization of space actors is an ongoing process, and it is complemented by a proliferation of private entities that conduct space activities such as, for example, SpaceX, Blue Origin, Rocket Space, One Space, Virgin Galactic, and Planetary Resources.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Furthermore, the end of the Cold War busted the regionalization of space cooperation, begun in Europe during the 1970s, with the creation of the European Space Agency (ESA). The ESA is an international organization with 22 member states, established in 1975 with the merging of the European Space Research Organisation with the European Launcher Development Organisation. The purposes of the ESA are to provide for and to promote, for exclusively peaceful purposes, cooperation among European countries in space research and technology and their space applications, with a view to use such information for scientific purposes and for operational space applications systems: by elaborating and implementing a long-term European space policy; recommending space objectives to the member states and managing the policies of the member states with respect to other national and international organizations and institutions; elaborating and implementing activities and programs in the space field; coordinating the European space program and national programs and progressively integrating the latter into the European space program; and elaborating and implementing the industrial policy appropriate to its program and recommending a coherent industrial policy to the member states (ESA Convention, 1975, Art. II).</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The ESA is an example of an operational international organization for space activities and represents a successful working model for scientific, technological, and political cooperation in space at a regional level. Based on this model, the regionalization of space cooperation was later complemented by the creation of the Asia-Pacific Space Cooperation Organization in 2005 and by other regional institutional initiatives such as the Asia-Pacific Regional Space Agency Forum, the proposal to establish an African space agency within the context of the African Union.</w:t>
      </w:r>
    </w:p>
    <w:p w:rsidR="0051590F" w:rsidRPr="00F502EF" w:rsidRDefault="00F502EF" w:rsidP="0051590F">
      <w:pPr>
        <w:shd w:val="clear" w:color="auto" w:fill="FFFFFF"/>
        <w:spacing w:after="240" w:line="240" w:lineRule="auto"/>
        <w:jc w:val="both"/>
        <w:outlineLvl w:val="1"/>
        <w:rPr>
          <w:rFonts w:ascii="Times New Roman" w:eastAsia="Times New Roman" w:hAnsi="Times New Roman" w:cs="Times New Roman"/>
          <w:b/>
          <w:bCs/>
          <w:kern w:val="36"/>
          <w:lang w:eastAsia="cs-CZ"/>
        </w:rPr>
      </w:pPr>
      <w:r>
        <w:rPr>
          <w:rFonts w:ascii="Times New Roman" w:eastAsia="Times New Roman" w:hAnsi="Times New Roman" w:cs="Times New Roman"/>
          <w:b/>
          <w:bCs/>
          <w:kern w:val="36"/>
          <w:lang w:eastAsia="cs-CZ"/>
        </w:rPr>
        <w:t xml:space="preserve">10. </w:t>
      </w:r>
      <w:r w:rsidR="0051590F" w:rsidRPr="00F502EF">
        <w:rPr>
          <w:rFonts w:ascii="Times New Roman" w:eastAsia="Times New Roman" w:hAnsi="Times New Roman" w:cs="Times New Roman"/>
          <w:b/>
          <w:bCs/>
          <w:kern w:val="36"/>
          <w:lang w:eastAsia="cs-CZ"/>
        </w:rPr>
        <w:t>The Future of Outer Space Law and Geopolitics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 xml:space="preserve">Geopolitical aspects of international relations have always been dynamic elements, which evolve rapidly over time. As space policies and programs are an important part of the politics of power and of the international prestige of a </w:t>
      </w:r>
      <w:proofErr w:type="gramStart"/>
      <w:r w:rsidRPr="0051590F">
        <w:rPr>
          <w:rFonts w:ascii="Times New Roman" w:eastAsia="Times New Roman" w:hAnsi="Times New Roman" w:cs="Times New Roman"/>
          <w:lang w:eastAsia="cs-CZ"/>
        </w:rPr>
        <w:t>state</w:t>
      </w:r>
      <w:proofErr w:type="gramEnd"/>
      <w:r w:rsidRPr="0051590F">
        <w:rPr>
          <w:rFonts w:ascii="Times New Roman" w:eastAsia="Times New Roman" w:hAnsi="Times New Roman" w:cs="Times New Roman"/>
          <w:lang w:eastAsia="cs-CZ"/>
        </w:rPr>
        <w:t>, it can be expected that space activities will also influence the broader geopolitical context as well as the definition and adoption of further legal provisions. The previously described evolution, along with technological changes, poses political challenges to the actors involved in the space arena and creates a competitive geopolitical situation in which states aim at protecting their national interests in outer space. In this context, international space governance plays a fundamental role in bringing together national interests toward a collective interest in protecting and promoting space activities for the benefit of humankind and with due regard to the corresponding interests of all states.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Space regulations and governance are indeed important and interrelated concepts. As Marchisio (</w:t>
      </w:r>
      <w:hyperlink r:id="rId49" w:anchor="acrefore-9780190647926-e-40-bibItem-0017" w:history="1">
        <w:r w:rsidRPr="0051590F">
          <w:rPr>
            <w:rFonts w:ascii="Times New Roman" w:eastAsia="Times New Roman" w:hAnsi="Times New Roman" w:cs="Times New Roman"/>
            <w:smallCaps/>
            <w:lang w:eastAsia="cs-CZ"/>
          </w:rPr>
          <w:t>2018</w:t>
        </w:r>
      </w:hyperlink>
      <w:r w:rsidRPr="0051590F">
        <w:rPr>
          <w:rFonts w:ascii="Times New Roman" w:eastAsia="Times New Roman" w:hAnsi="Times New Roman" w:cs="Times New Roman"/>
          <w:lang w:eastAsia="cs-CZ"/>
        </w:rPr>
        <w:t>, p. 57) specifies, there are two different level of governance:</w:t>
      </w:r>
    </w:p>
    <w:p w:rsidR="0051590F" w:rsidRPr="0051590F" w:rsidRDefault="0051590F" w:rsidP="0051590F">
      <w:pPr>
        <w:shd w:val="clear" w:color="auto" w:fill="FFFFFF"/>
        <w:spacing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[f]irstly, there is a normative or substantial level of governance, through space law as a </w:t>
      </w:r>
      <w:r w:rsidRPr="0051590F">
        <w:rPr>
          <w:rFonts w:ascii="Times New Roman" w:eastAsia="Times New Roman" w:hAnsi="Times New Roman" w:cs="Times New Roman"/>
          <w:i/>
          <w:iCs/>
          <w:lang w:eastAsia="cs-CZ"/>
        </w:rPr>
        <w:t>corpus</w:t>
      </w:r>
      <w:r w:rsidRPr="0051590F">
        <w:rPr>
          <w:rFonts w:ascii="Times New Roman" w:eastAsia="Times New Roman" w:hAnsi="Times New Roman" w:cs="Times New Roman"/>
          <w:lang w:eastAsia="cs-CZ"/>
        </w:rPr>
        <w:t xml:space="preserve"> of rules and key legal principles that address behaviours in outer space; secondly, we have a structural level of </w:t>
      </w:r>
      <w:r w:rsidRPr="0051590F">
        <w:rPr>
          <w:rFonts w:ascii="Times New Roman" w:eastAsia="Times New Roman" w:hAnsi="Times New Roman" w:cs="Times New Roman"/>
          <w:lang w:eastAsia="cs-CZ"/>
        </w:rPr>
        <w:lastRenderedPageBreak/>
        <w:t>governance, an institutional framework capable of applying, revising if necessary, adapting the rules, and monitor their compliance.</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The international legal regime previously described has been created within a relatively short time period, and it is rooted in the era of Cold War. Such principles and rules have been complemented with national regulatory frameworks. These national rules can “easily” be adapted through amendment procedures or with the enactment of a new legislation in order to respond to new exigencies and needs. On the other hand, international obligations enshrined in multilateral agreements must undergo “hard procedures,” involving the consensus of all parties, to be amended. In this context, declarations of principles are important instruments for the interpretation of the obligations proposed by treaties and for the progressive development of international law, even if their legal nature is nonbinding (Arangio-Ruiz, </w:t>
      </w:r>
      <w:hyperlink r:id="rId50" w:anchor="acrefore-9780190647926-e-40-bibItem-0025" w:history="1">
        <w:r w:rsidRPr="0051590F">
          <w:rPr>
            <w:rFonts w:ascii="Times New Roman" w:eastAsia="Times New Roman" w:hAnsi="Times New Roman" w:cs="Times New Roman"/>
            <w:smallCaps/>
            <w:lang w:eastAsia="cs-CZ"/>
          </w:rPr>
          <w:t>1972</w:t>
        </w:r>
      </w:hyperlink>
      <w:r w:rsidRPr="0051590F">
        <w:rPr>
          <w:rFonts w:ascii="Times New Roman" w:eastAsia="Times New Roman" w:hAnsi="Times New Roman" w:cs="Times New Roman"/>
          <w:lang w:eastAsia="cs-CZ"/>
        </w:rPr>
        <w:t xml:space="preserve">). However, they do not provide an authentic interpretation of the obligations, nor do </w:t>
      </w:r>
      <w:proofErr w:type="gramStart"/>
      <w:r w:rsidRPr="0051590F">
        <w:rPr>
          <w:rFonts w:ascii="Times New Roman" w:eastAsia="Times New Roman" w:hAnsi="Times New Roman" w:cs="Times New Roman"/>
          <w:lang w:eastAsia="cs-CZ"/>
        </w:rPr>
        <w:t>they</w:t>
      </w:r>
      <w:proofErr w:type="gramEnd"/>
      <w:r w:rsidRPr="0051590F">
        <w:rPr>
          <w:rFonts w:ascii="Times New Roman" w:eastAsia="Times New Roman" w:hAnsi="Times New Roman" w:cs="Times New Roman"/>
          <w:lang w:eastAsia="cs-CZ"/>
        </w:rPr>
        <w:t xml:space="preserve"> create general rules. Such declarations represent the </w:t>
      </w:r>
      <w:r w:rsidRPr="0051590F">
        <w:rPr>
          <w:rFonts w:ascii="Times New Roman" w:eastAsia="Times New Roman" w:hAnsi="Times New Roman" w:cs="Times New Roman"/>
          <w:i/>
          <w:iCs/>
          <w:lang w:eastAsia="cs-CZ"/>
        </w:rPr>
        <w:t>opinion iuris</w:t>
      </w:r>
      <w:r w:rsidRPr="0051590F">
        <w:rPr>
          <w:rFonts w:ascii="Times New Roman" w:eastAsia="Times New Roman" w:hAnsi="Times New Roman" w:cs="Times New Roman"/>
          <w:lang w:eastAsia="cs-CZ"/>
        </w:rPr>
        <w:t> of the states, while consistent practice will be needed to create a customary rule. A proper interpretation of the obligations of treaties would be surely provided by international courts and tribunals, but there are no pending cases, nor previous decisions, issued on the interpretation of provisions contained in the UN space treaties.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Notwithstanding these issues, the ideals surrounding fundamental international space obligations are shared by all spacefaring states. Moreover, even if adopted in the past, these obligations carry out a long-term perspective that could respond to current and future challenges (Freeland, </w:t>
      </w:r>
      <w:hyperlink r:id="rId51" w:anchor="acrefore-9780190647926-e-40-bibItem-0038" w:history="1">
        <w:r w:rsidRPr="0051590F">
          <w:rPr>
            <w:rFonts w:ascii="Times New Roman" w:eastAsia="Times New Roman" w:hAnsi="Times New Roman" w:cs="Times New Roman"/>
            <w:smallCaps/>
            <w:lang w:eastAsia="cs-CZ"/>
          </w:rPr>
          <w:t>2017</w:t>
        </w:r>
      </w:hyperlink>
      <w:r w:rsidRPr="0051590F">
        <w:rPr>
          <w:rFonts w:ascii="Times New Roman" w:eastAsia="Times New Roman" w:hAnsi="Times New Roman" w:cs="Times New Roman"/>
          <w:lang w:eastAsia="cs-CZ"/>
        </w:rPr>
        <w:t>). Furthermore, Article III of the OST, and its openness to general international law and the UN Charter, have granted the application of relevant provisions of other areas of international law to space activities. Nevertheless, the adoption of agreed ad hoc legal regulatory frameworks would represent the best option to respond to specific needs.</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 xml:space="preserve">At the institutional level, a dedicated international organization or body with a solid mandate for applying, revising, adapting, and monitoring the compliance of the rules does not exist. The COPUOS is the main international forum for discussing space affairs, and during the years its work has produced excellent results in law-making, while it lacks the legal authority for monitoring and enforcing the rules. In this regard, it is important to recall that, given the equality between the primary members of the international community, such an enforcing body would not be required as each state could react with countermeasures or settle the dispute through pacific means, or the UN Security Council could intervene in matters or situations that represent a threat to peace, breach of peace, or act of aggression. However, a body that could give authentic and official interpretations of the treaties and address violations of obligations even before the arising of a </w:t>
      </w:r>
      <w:proofErr w:type="gramStart"/>
      <w:r w:rsidRPr="0051590F">
        <w:rPr>
          <w:rFonts w:ascii="Times New Roman" w:eastAsia="Times New Roman" w:hAnsi="Times New Roman" w:cs="Times New Roman"/>
          <w:lang w:eastAsia="cs-CZ"/>
        </w:rPr>
        <w:t>dispute</w:t>
      </w:r>
      <w:proofErr w:type="gramEnd"/>
      <w:r w:rsidRPr="0051590F">
        <w:rPr>
          <w:rFonts w:ascii="Times New Roman" w:eastAsia="Times New Roman" w:hAnsi="Times New Roman" w:cs="Times New Roman"/>
          <w:lang w:eastAsia="cs-CZ"/>
        </w:rPr>
        <w:t xml:space="preserve"> is still needed.</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Furthermore, several international initiatives aim at creating specific legal regimes, mainly to address safety, security, and sustainability of space activities (Marchisio, </w:t>
      </w:r>
      <w:hyperlink r:id="rId52" w:anchor="acrefore-9780190647926-e-40-bibItem-0063" w:history="1">
        <w:r w:rsidRPr="0051590F">
          <w:rPr>
            <w:rFonts w:ascii="Times New Roman" w:eastAsia="Times New Roman" w:hAnsi="Times New Roman" w:cs="Times New Roman"/>
            <w:smallCaps/>
            <w:lang w:eastAsia="cs-CZ"/>
          </w:rPr>
          <w:t>2015</w:t>
        </w:r>
      </w:hyperlink>
      <w:r w:rsidRPr="0051590F">
        <w:rPr>
          <w:rFonts w:ascii="Times New Roman" w:eastAsia="Times New Roman" w:hAnsi="Times New Roman" w:cs="Times New Roman"/>
          <w:lang w:eastAsia="cs-CZ"/>
        </w:rPr>
        <w:t>). Most of them are nonbinding in nature, but their value, in some cases, goes far beyond the legal status. Among these initiatives, there are some examples of the design of institutional mechanisms for the monitoring of the implementation of the provisions of the legal instrument.</w:t>
      </w:r>
    </w:p>
    <w:p w:rsidR="0051590F" w:rsidRPr="0051590F" w:rsidRDefault="0051590F" w:rsidP="0051590F">
      <w:pPr>
        <w:shd w:val="clear" w:color="auto" w:fill="FFFFFF"/>
        <w:spacing w:after="240" w:line="240" w:lineRule="auto"/>
        <w:jc w:val="both"/>
        <w:rPr>
          <w:rFonts w:ascii="Times New Roman" w:eastAsia="Times New Roman" w:hAnsi="Times New Roman" w:cs="Times New Roman"/>
          <w:lang w:eastAsia="cs-CZ"/>
        </w:rPr>
      </w:pPr>
      <w:r w:rsidRPr="0051590F">
        <w:rPr>
          <w:rFonts w:ascii="Times New Roman" w:eastAsia="Times New Roman" w:hAnsi="Times New Roman" w:cs="Times New Roman"/>
          <w:lang w:eastAsia="cs-CZ"/>
        </w:rPr>
        <w:t xml:space="preserve">The first example </w:t>
      </w:r>
      <w:proofErr w:type="gramStart"/>
      <w:r w:rsidRPr="0051590F">
        <w:rPr>
          <w:rFonts w:ascii="Times New Roman" w:eastAsia="Times New Roman" w:hAnsi="Times New Roman" w:cs="Times New Roman"/>
          <w:lang w:eastAsia="cs-CZ"/>
        </w:rPr>
        <w:t>is</w:t>
      </w:r>
      <w:proofErr w:type="gramEnd"/>
      <w:r w:rsidRPr="0051590F">
        <w:rPr>
          <w:rFonts w:ascii="Times New Roman" w:eastAsia="Times New Roman" w:hAnsi="Times New Roman" w:cs="Times New Roman"/>
          <w:lang w:eastAsia="cs-CZ"/>
        </w:rPr>
        <w:t xml:space="preserve"> the Draft International </w:t>
      </w:r>
      <w:proofErr w:type="gramStart"/>
      <w:r w:rsidRPr="0051590F">
        <w:rPr>
          <w:rFonts w:ascii="Times New Roman" w:eastAsia="Times New Roman" w:hAnsi="Times New Roman" w:cs="Times New Roman"/>
          <w:lang w:eastAsia="cs-CZ"/>
        </w:rPr>
        <w:t>Code</w:t>
      </w:r>
      <w:proofErr w:type="gramEnd"/>
      <w:r w:rsidRPr="0051590F">
        <w:rPr>
          <w:rFonts w:ascii="Times New Roman" w:eastAsia="Times New Roman" w:hAnsi="Times New Roman" w:cs="Times New Roman"/>
          <w:lang w:eastAsia="cs-CZ"/>
        </w:rPr>
        <w:t xml:space="preserve"> of Conduct for Outer Space Activities. The 2007 proposal by the European Union of a draft code on space activities was conceived as a reaction to the UN General Assembly Resolution No 61/75 of December 6, 2006, which called for member states to submit proposals on transparency and confidence-building measures within the context of prevention of an arms race in outer space. According to the proposal, an annual Meeting of the Subscribing States of the Code would be called to define, review, and further develop the commitments and facilitate their implementation. Furthermore, the Code foresees the designation of a Central Point of Contact tasked with receiving and communicating notifications of new subscriptions, facilitating information exchange, serving as secretariat at the meetings, maintaining an electronic database and communications system, and exercising organizational functions.</w:t>
      </w:r>
    </w:p>
    <w:p w:rsidR="00D76FD4" w:rsidRDefault="0051590F" w:rsidP="00D76FD4">
      <w:pPr>
        <w:shd w:val="clear" w:color="auto" w:fill="FFFFFF"/>
        <w:spacing w:after="240" w:line="240" w:lineRule="auto"/>
        <w:jc w:val="both"/>
      </w:pPr>
      <w:r w:rsidRPr="0051590F">
        <w:rPr>
          <w:rFonts w:ascii="Times New Roman" w:eastAsia="Times New Roman" w:hAnsi="Times New Roman" w:cs="Times New Roman"/>
          <w:lang w:eastAsia="cs-CZ"/>
        </w:rPr>
        <w:t xml:space="preserve">The second example is the Draft Treaty on the Prevention of the Placement of Weapons in Outer Space, the Threat or Use of Force against Outer Space Objects (PPWT), proposed in 2008 by Russia </w:t>
      </w:r>
      <w:r w:rsidRPr="0051590F">
        <w:rPr>
          <w:rFonts w:ascii="Times New Roman" w:eastAsia="Times New Roman" w:hAnsi="Times New Roman" w:cs="Times New Roman"/>
          <w:lang w:eastAsia="cs-CZ"/>
        </w:rPr>
        <w:lastRenderedPageBreak/>
        <w:t>and China and revised in 2014. Article VI of the Draft PPWT provides that, to promote the implementation of the purposes and provisions of the Treaty, the state parties shall establish the Executive Organization of the Treaty, which will consider matters related to the operation and implementation of the Treaty; receive for consideration inquiries by a state party or a group of states parties related to an alleged violation of the Treaty; organize and conduct consultations with the state parties in order to address the situation related to the alleged violation of the Treaty; refer the dispute to the UN General Assembly or the UN Security Council if the problem related to the alleged violation of the Treaty remains unresolved; organize and hold meetings to discuss and accept the proposed amendments to the Treaty; develop procedures for collective data sharing and information analysis; collect and distribute information provided as part of transparency and confidence-building measures; receive notifications on the accession of new states to the Treaty and submit them to the secretary-general of the UN; and consider, upon agreement with the state parties, other procedural and substantive matters. This kind of proposal highlights the paramount importance of creating institutional bodies tasked with monitoring and facilitating the implementation of legal provisions as well as the fundamental connection between legal and institutional dimensions of governance, which remains an open issue in the international legal debate concerning regulation of space activities.</w:t>
      </w:r>
    </w:p>
    <w:p w:rsidR="00D76FD4" w:rsidRDefault="00793BB2" w:rsidP="00D76FD4">
      <w:pPr>
        <w:shd w:val="clear" w:color="auto" w:fill="FFFFFF"/>
        <w:spacing w:after="240" w:line="240" w:lineRule="auto"/>
        <w:jc w:val="both"/>
      </w:pPr>
      <w:r>
        <w:rPr>
          <w:noProof/>
          <w:lang w:eastAsia="cs-CZ"/>
        </w:rPr>
        <w:drawing>
          <wp:inline distT="0" distB="0" distL="0" distR="0">
            <wp:extent cx="6160348" cy="3181350"/>
            <wp:effectExtent l="19050" t="0" r="0" b="0"/>
            <wp:docPr id="2" name="Obrázek 1" descr="info-journey-701x3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fo-journey-701x362.jpg"/>
                    <pic:cNvPicPr/>
                  </pic:nvPicPr>
                  <pic:blipFill>
                    <a:blip r:embed="rId53" cstate="print"/>
                    <a:stretch>
                      <a:fillRect/>
                    </a:stretch>
                  </pic:blipFill>
                  <pic:spPr>
                    <a:xfrm>
                      <a:off x="0" y="0"/>
                      <a:ext cx="6169965" cy="3186316"/>
                    </a:xfrm>
                    <a:prstGeom prst="rect">
                      <a:avLst/>
                    </a:prstGeom>
                  </pic:spPr>
                </pic:pic>
              </a:graphicData>
            </a:graphic>
          </wp:inline>
        </w:drawing>
      </w:r>
    </w:p>
    <w:p w:rsidR="00793BB2" w:rsidRDefault="00793BB2" w:rsidP="00D76FD4">
      <w:pPr>
        <w:shd w:val="clear" w:color="auto" w:fill="FFFFFF"/>
        <w:spacing w:after="240" w:line="240" w:lineRule="auto"/>
        <w:jc w:val="both"/>
      </w:pPr>
    </w:p>
    <w:p w:rsidR="00D76FD4" w:rsidRDefault="00D76FD4" w:rsidP="00D76FD4">
      <w:pPr>
        <w:shd w:val="clear" w:color="auto" w:fill="FFFFFF"/>
        <w:spacing w:after="240" w:line="240" w:lineRule="auto"/>
        <w:jc w:val="both"/>
      </w:pPr>
    </w:p>
    <w:p w:rsidR="00FA3043" w:rsidRPr="00D76FD4" w:rsidRDefault="00F502EF" w:rsidP="00D76FD4">
      <w:pPr>
        <w:shd w:val="clear" w:color="auto" w:fill="FFFFFF"/>
        <w:spacing w:after="240" w:line="240" w:lineRule="auto"/>
        <w:jc w:val="both"/>
        <w:rPr>
          <w:rFonts w:ascii="Times New Roman" w:eastAsia="Times New Roman" w:hAnsi="Times New Roman" w:cs="Times New Roman"/>
          <w:lang w:eastAsia="cs-CZ"/>
        </w:rPr>
      </w:pPr>
      <w:r w:rsidRPr="00F502EF">
        <w:rPr>
          <w:b/>
        </w:rPr>
        <w:t xml:space="preserve">Follow-up tasks: </w:t>
      </w:r>
    </w:p>
    <w:p w:rsidR="00F502EF" w:rsidRDefault="00F502EF">
      <w:r>
        <w:t>1. What are the origins of space geopolitics?</w:t>
      </w:r>
    </w:p>
    <w:p w:rsidR="00F502EF" w:rsidRDefault="00F502EF">
      <w:r>
        <w:t>2. What makes it relevant for the international system in the 21st century?</w:t>
      </w:r>
    </w:p>
    <w:p w:rsidR="00F502EF" w:rsidRDefault="00F502EF">
      <w:r>
        <w:t>3. What are some of the legal regulations surrounding space and its usage?</w:t>
      </w:r>
    </w:p>
    <w:p w:rsidR="00F502EF" w:rsidRDefault="00F502EF">
      <w:r>
        <w:t>4. Discuss critical geopolitics and critical astropolitics. In what aspects does critical geopolitics differ from traditional geopolitics?</w:t>
      </w:r>
    </w:p>
    <w:p w:rsidR="00D76FD4" w:rsidRDefault="00D76FD4">
      <w:r>
        <w:t>5. What do you think about the future of space exploration?</w:t>
      </w:r>
    </w:p>
    <w:sectPr w:rsidR="00D76FD4" w:rsidSect="00FA304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4E121D"/>
    <w:multiLevelType w:val="multilevel"/>
    <w:tmpl w:val="212AB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1B652BD"/>
    <w:multiLevelType w:val="multilevel"/>
    <w:tmpl w:val="C3ECC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8EE1D89"/>
    <w:multiLevelType w:val="multilevel"/>
    <w:tmpl w:val="907EB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BB63832"/>
    <w:multiLevelType w:val="multilevel"/>
    <w:tmpl w:val="3E56ED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proofState w:grammar="clean"/>
  <w:defaultTabStop w:val="708"/>
  <w:hyphenationZone w:val="425"/>
  <w:characterSpacingControl w:val="doNotCompress"/>
  <w:compat/>
  <w:rsids>
    <w:rsidRoot w:val="0051590F"/>
    <w:rsid w:val="0051590F"/>
    <w:rsid w:val="00793BB2"/>
    <w:rsid w:val="00AD6099"/>
    <w:rsid w:val="00B20F5C"/>
    <w:rsid w:val="00D76FD4"/>
    <w:rsid w:val="00F502EF"/>
    <w:rsid w:val="00FA304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3043"/>
  </w:style>
  <w:style w:type="paragraph" w:styleId="Nadpis2">
    <w:name w:val="heading 2"/>
    <w:basedOn w:val="Normln"/>
    <w:link w:val="Nadpis2Char"/>
    <w:uiPriority w:val="9"/>
    <w:qFormat/>
    <w:rsid w:val="0051590F"/>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51590F"/>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51590F"/>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51590F"/>
    <w:rPr>
      <w:rFonts w:ascii="Times New Roman" w:eastAsia="Times New Roman" w:hAnsi="Times New Roman" w:cs="Times New Roman"/>
      <w:b/>
      <w:bCs/>
      <w:sz w:val="27"/>
      <w:szCs w:val="27"/>
      <w:lang w:eastAsia="cs-CZ"/>
    </w:rPr>
  </w:style>
  <w:style w:type="character" w:customStyle="1" w:styleId="titlepart">
    <w:name w:val="titlepart"/>
    <w:basedOn w:val="Standardnpsmoodstavce"/>
    <w:rsid w:val="0051590F"/>
  </w:style>
  <w:style w:type="character" w:customStyle="1" w:styleId="availabilityicon">
    <w:name w:val="availabilityicon"/>
    <w:basedOn w:val="Standardnpsmoodstavce"/>
    <w:rsid w:val="0051590F"/>
  </w:style>
  <w:style w:type="character" w:styleId="Hypertextovodkaz">
    <w:name w:val="Hyperlink"/>
    <w:basedOn w:val="Standardnpsmoodstavce"/>
    <w:uiPriority w:val="99"/>
    <w:semiHidden/>
    <w:unhideWhenUsed/>
    <w:rsid w:val="0051590F"/>
    <w:rPr>
      <w:color w:val="0000FF"/>
      <w:u w:val="single"/>
    </w:rPr>
  </w:style>
  <w:style w:type="character" w:customStyle="1" w:styleId="screen-reader-text">
    <w:name w:val="screen-reader-text"/>
    <w:basedOn w:val="Standardnpsmoodstavce"/>
    <w:rsid w:val="0051590F"/>
  </w:style>
  <w:style w:type="paragraph" w:styleId="Normlnweb">
    <w:name w:val="Normal (Web)"/>
    <w:basedOn w:val="Normln"/>
    <w:uiPriority w:val="99"/>
    <w:semiHidden/>
    <w:unhideWhenUsed/>
    <w:rsid w:val="0051590F"/>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keywords">
    <w:name w:val="keywords"/>
    <w:basedOn w:val="Normln"/>
    <w:rsid w:val="0051590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sc">
    <w:name w:val="sc"/>
    <w:basedOn w:val="Standardnpsmoodstavce"/>
    <w:rsid w:val="0051590F"/>
  </w:style>
  <w:style w:type="paragraph" w:styleId="Textbubliny">
    <w:name w:val="Balloon Text"/>
    <w:basedOn w:val="Normln"/>
    <w:link w:val="TextbublinyChar"/>
    <w:uiPriority w:val="99"/>
    <w:semiHidden/>
    <w:unhideWhenUsed/>
    <w:rsid w:val="00D76F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76FD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02818621">
      <w:bodyDiv w:val="1"/>
      <w:marLeft w:val="0"/>
      <w:marRight w:val="0"/>
      <w:marTop w:val="0"/>
      <w:marBottom w:val="0"/>
      <w:divBdr>
        <w:top w:val="none" w:sz="0" w:space="0" w:color="auto"/>
        <w:left w:val="none" w:sz="0" w:space="0" w:color="auto"/>
        <w:bottom w:val="none" w:sz="0" w:space="0" w:color="auto"/>
        <w:right w:val="none" w:sz="0" w:space="0" w:color="auto"/>
      </w:divBdr>
      <w:divsChild>
        <w:div w:id="358553697">
          <w:marLeft w:val="0"/>
          <w:marRight w:val="0"/>
          <w:marTop w:val="750"/>
          <w:marBottom w:val="0"/>
          <w:divBdr>
            <w:top w:val="single" w:sz="6" w:space="0" w:color="D0D0D0"/>
            <w:left w:val="single" w:sz="6" w:space="0" w:color="D0D0D0"/>
            <w:bottom w:val="single" w:sz="6" w:space="0" w:color="D0D0D0"/>
            <w:right w:val="single" w:sz="6" w:space="0" w:color="D0D0D0"/>
          </w:divBdr>
          <w:divsChild>
            <w:div w:id="998731204">
              <w:marLeft w:val="0"/>
              <w:marRight w:val="0"/>
              <w:marTop w:val="0"/>
              <w:marBottom w:val="0"/>
              <w:divBdr>
                <w:top w:val="none" w:sz="0" w:space="0" w:color="auto"/>
                <w:left w:val="none" w:sz="0" w:space="0" w:color="auto"/>
                <w:bottom w:val="none" w:sz="0" w:space="0" w:color="auto"/>
                <w:right w:val="none" w:sz="0" w:space="0" w:color="auto"/>
              </w:divBdr>
              <w:divsChild>
                <w:div w:id="965282743">
                  <w:marLeft w:val="0"/>
                  <w:marRight w:val="0"/>
                  <w:marTop w:val="0"/>
                  <w:marBottom w:val="0"/>
                  <w:divBdr>
                    <w:top w:val="none" w:sz="0" w:space="0" w:color="auto"/>
                    <w:left w:val="none" w:sz="0" w:space="0" w:color="auto"/>
                    <w:bottom w:val="none" w:sz="0" w:space="0" w:color="auto"/>
                    <w:right w:val="none" w:sz="0" w:space="0" w:color="auto"/>
                  </w:divBdr>
                </w:div>
                <w:div w:id="640962981">
                  <w:marLeft w:val="0"/>
                  <w:marRight w:val="0"/>
                  <w:marTop w:val="0"/>
                  <w:marBottom w:val="0"/>
                  <w:divBdr>
                    <w:top w:val="none" w:sz="0" w:space="0" w:color="auto"/>
                    <w:left w:val="none" w:sz="0" w:space="0" w:color="auto"/>
                    <w:bottom w:val="none" w:sz="0" w:space="0" w:color="auto"/>
                    <w:right w:val="none" w:sz="0" w:space="0" w:color="auto"/>
                  </w:divBdr>
                  <w:divsChild>
                    <w:div w:id="184859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333862">
          <w:marLeft w:val="0"/>
          <w:marRight w:val="0"/>
          <w:marTop w:val="0"/>
          <w:marBottom w:val="0"/>
          <w:divBdr>
            <w:top w:val="none" w:sz="0" w:space="0" w:color="auto"/>
            <w:left w:val="none" w:sz="0" w:space="0" w:color="auto"/>
            <w:bottom w:val="none" w:sz="0" w:space="0" w:color="auto"/>
            <w:right w:val="none" w:sz="0" w:space="0" w:color="auto"/>
          </w:divBdr>
          <w:divsChild>
            <w:div w:id="929697188">
              <w:marLeft w:val="0"/>
              <w:marRight w:val="0"/>
              <w:marTop w:val="0"/>
              <w:marBottom w:val="0"/>
              <w:divBdr>
                <w:top w:val="none" w:sz="0" w:space="0" w:color="auto"/>
                <w:left w:val="none" w:sz="0" w:space="0" w:color="auto"/>
                <w:bottom w:val="none" w:sz="0" w:space="0" w:color="auto"/>
                <w:right w:val="none" w:sz="0" w:space="0" w:color="auto"/>
              </w:divBdr>
            </w:div>
          </w:divsChild>
        </w:div>
        <w:div w:id="1937858757">
          <w:marLeft w:val="0"/>
          <w:marRight w:val="0"/>
          <w:marTop w:val="750"/>
          <w:marBottom w:val="0"/>
          <w:divBdr>
            <w:top w:val="none" w:sz="0" w:space="0" w:color="auto"/>
            <w:left w:val="none" w:sz="0" w:space="0" w:color="auto"/>
            <w:bottom w:val="none" w:sz="0" w:space="0" w:color="auto"/>
            <w:right w:val="none" w:sz="0" w:space="0" w:color="auto"/>
          </w:divBdr>
          <w:divsChild>
            <w:div w:id="1229924941">
              <w:marLeft w:val="0"/>
              <w:marRight w:val="0"/>
              <w:marTop w:val="0"/>
              <w:marBottom w:val="0"/>
              <w:divBdr>
                <w:top w:val="none" w:sz="0" w:space="0" w:color="auto"/>
                <w:left w:val="none" w:sz="0" w:space="0" w:color="auto"/>
                <w:bottom w:val="none" w:sz="0" w:space="0" w:color="auto"/>
                <w:right w:val="none" w:sz="0" w:space="0" w:color="auto"/>
              </w:divBdr>
              <w:divsChild>
                <w:div w:id="63798273">
                  <w:marLeft w:val="0"/>
                  <w:marRight w:val="0"/>
                  <w:marTop w:val="0"/>
                  <w:marBottom w:val="195"/>
                  <w:divBdr>
                    <w:top w:val="none" w:sz="0" w:space="0" w:color="auto"/>
                    <w:left w:val="none" w:sz="0" w:space="0" w:color="auto"/>
                    <w:bottom w:val="none" w:sz="0" w:space="0" w:color="auto"/>
                    <w:right w:val="none" w:sz="0" w:space="0" w:color="auto"/>
                  </w:divBdr>
                </w:div>
                <w:div w:id="20866601">
                  <w:marLeft w:val="0"/>
                  <w:marRight w:val="0"/>
                  <w:marTop w:val="0"/>
                  <w:marBottom w:val="0"/>
                  <w:divBdr>
                    <w:top w:val="none" w:sz="0" w:space="0" w:color="auto"/>
                    <w:left w:val="none" w:sz="0" w:space="0" w:color="auto"/>
                    <w:bottom w:val="none" w:sz="0" w:space="0" w:color="auto"/>
                    <w:right w:val="none" w:sz="0" w:space="0" w:color="auto"/>
                  </w:divBdr>
                  <w:divsChild>
                    <w:div w:id="1557201426">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 w:id="1383358913">
          <w:marLeft w:val="420"/>
          <w:marRight w:val="0"/>
          <w:marTop w:val="0"/>
          <w:marBottom w:val="0"/>
          <w:divBdr>
            <w:top w:val="none" w:sz="0" w:space="0" w:color="auto"/>
            <w:left w:val="none" w:sz="0" w:space="0" w:color="auto"/>
            <w:bottom w:val="none" w:sz="0" w:space="0" w:color="auto"/>
            <w:right w:val="none" w:sz="0" w:space="0" w:color="auto"/>
          </w:divBdr>
          <w:divsChild>
            <w:div w:id="588076053">
              <w:marLeft w:val="0"/>
              <w:marRight w:val="0"/>
              <w:marTop w:val="0"/>
              <w:marBottom w:val="0"/>
              <w:divBdr>
                <w:top w:val="none" w:sz="0" w:space="0" w:color="auto"/>
                <w:left w:val="none" w:sz="0" w:space="0" w:color="auto"/>
                <w:bottom w:val="none" w:sz="0" w:space="0" w:color="auto"/>
                <w:right w:val="none" w:sz="0" w:space="0" w:color="auto"/>
              </w:divBdr>
              <w:divsChild>
                <w:div w:id="803812547">
                  <w:marLeft w:val="0"/>
                  <w:marRight w:val="0"/>
                  <w:marTop w:val="0"/>
                  <w:marBottom w:val="0"/>
                  <w:divBdr>
                    <w:top w:val="none" w:sz="0" w:space="0" w:color="auto"/>
                    <w:left w:val="none" w:sz="0" w:space="0" w:color="auto"/>
                    <w:bottom w:val="none" w:sz="0" w:space="0" w:color="auto"/>
                    <w:right w:val="none" w:sz="0" w:space="0" w:color="auto"/>
                  </w:divBdr>
                  <w:divsChild>
                    <w:div w:id="967856508">
                      <w:marLeft w:val="0"/>
                      <w:marRight w:val="0"/>
                      <w:marTop w:val="300"/>
                      <w:marBottom w:val="0"/>
                      <w:divBdr>
                        <w:top w:val="none" w:sz="0" w:space="0" w:color="auto"/>
                        <w:left w:val="none" w:sz="0" w:space="0" w:color="auto"/>
                        <w:bottom w:val="none" w:sz="0" w:space="0" w:color="auto"/>
                        <w:right w:val="none" w:sz="0" w:space="0" w:color="auto"/>
                      </w:divBdr>
                      <w:divsChild>
                        <w:div w:id="1847286208">
                          <w:marLeft w:val="0"/>
                          <w:marRight w:val="0"/>
                          <w:marTop w:val="0"/>
                          <w:marBottom w:val="0"/>
                          <w:divBdr>
                            <w:top w:val="none" w:sz="0" w:space="0" w:color="auto"/>
                            <w:left w:val="none" w:sz="0" w:space="0" w:color="auto"/>
                            <w:bottom w:val="none" w:sz="0" w:space="0" w:color="auto"/>
                            <w:right w:val="none" w:sz="0" w:space="0" w:color="auto"/>
                          </w:divBdr>
                          <w:divsChild>
                            <w:div w:id="1030573989">
                              <w:marLeft w:val="0"/>
                              <w:marRight w:val="0"/>
                              <w:marTop w:val="0"/>
                              <w:marBottom w:val="240"/>
                              <w:divBdr>
                                <w:top w:val="none" w:sz="0" w:space="0" w:color="auto"/>
                                <w:left w:val="none" w:sz="0" w:space="0" w:color="auto"/>
                                <w:bottom w:val="single" w:sz="6" w:space="0" w:color="D0D0D0"/>
                                <w:right w:val="none" w:sz="0" w:space="0" w:color="auto"/>
                              </w:divBdr>
                              <w:divsChild>
                                <w:div w:id="300814749">
                                  <w:marLeft w:val="0"/>
                                  <w:marRight w:val="0"/>
                                  <w:marTop w:val="0"/>
                                  <w:marBottom w:val="0"/>
                                  <w:divBdr>
                                    <w:top w:val="none" w:sz="0" w:space="0" w:color="auto"/>
                                    <w:left w:val="none" w:sz="0" w:space="0" w:color="auto"/>
                                    <w:bottom w:val="none" w:sz="0" w:space="0" w:color="auto"/>
                                    <w:right w:val="none" w:sz="0" w:space="0" w:color="auto"/>
                                  </w:divBdr>
                                </w:div>
                              </w:divsChild>
                            </w:div>
                            <w:div w:id="75131167">
                              <w:marLeft w:val="0"/>
                              <w:marRight w:val="0"/>
                              <w:marTop w:val="0"/>
                              <w:marBottom w:val="0"/>
                              <w:divBdr>
                                <w:top w:val="none" w:sz="0" w:space="0" w:color="auto"/>
                                <w:left w:val="none" w:sz="0" w:space="0" w:color="auto"/>
                                <w:bottom w:val="none" w:sz="0" w:space="0" w:color="auto"/>
                                <w:right w:val="none" w:sz="0" w:space="0" w:color="auto"/>
                              </w:divBdr>
                            </w:div>
                            <w:div w:id="117377935">
                              <w:marLeft w:val="0"/>
                              <w:marRight w:val="0"/>
                              <w:marTop w:val="0"/>
                              <w:marBottom w:val="0"/>
                              <w:divBdr>
                                <w:top w:val="none" w:sz="0" w:space="0" w:color="auto"/>
                                <w:left w:val="none" w:sz="0" w:space="0" w:color="auto"/>
                                <w:bottom w:val="none" w:sz="0" w:space="0" w:color="auto"/>
                                <w:right w:val="none" w:sz="0" w:space="0" w:color="auto"/>
                              </w:divBdr>
                              <w:divsChild>
                                <w:div w:id="1995722148">
                                  <w:marLeft w:val="0"/>
                                  <w:marRight w:val="0"/>
                                  <w:marTop w:val="0"/>
                                  <w:marBottom w:val="0"/>
                                  <w:divBdr>
                                    <w:top w:val="none" w:sz="0" w:space="0" w:color="auto"/>
                                    <w:left w:val="none" w:sz="0" w:space="0" w:color="auto"/>
                                    <w:bottom w:val="none" w:sz="0" w:space="0" w:color="auto"/>
                                    <w:right w:val="none" w:sz="0" w:space="0" w:color="auto"/>
                                  </w:divBdr>
                                </w:div>
                                <w:div w:id="639726264">
                                  <w:marLeft w:val="0"/>
                                  <w:marRight w:val="0"/>
                                  <w:marTop w:val="0"/>
                                  <w:marBottom w:val="0"/>
                                  <w:divBdr>
                                    <w:top w:val="none" w:sz="0" w:space="0" w:color="auto"/>
                                    <w:left w:val="none" w:sz="0" w:space="0" w:color="auto"/>
                                    <w:bottom w:val="none" w:sz="0" w:space="0" w:color="auto"/>
                                    <w:right w:val="none" w:sz="0" w:space="0" w:color="auto"/>
                                  </w:divBdr>
                                </w:div>
                                <w:div w:id="934753604">
                                  <w:marLeft w:val="0"/>
                                  <w:marRight w:val="0"/>
                                  <w:marTop w:val="0"/>
                                  <w:marBottom w:val="0"/>
                                  <w:divBdr>
                                    <w:top w:val="none" w:sz="0" w:space="0" w:color="auto"/>
                                    <w:left w:val="none" w:sz="0" w:space="0" w:color="auto"/>
                                    <w:bottom w:val="none" w:sz="0" w:space="0" w:color="auto"/>
                                    <w:right w:val="none" w:sz="0" w:space="0" w:color="auto"/>
                                  </w:divBdr>
                                </w:div>
                                <w:div w:id="2118601059">
                                  <w:marLeft w:val="0"/>
                                  <w:marRight w:val="0"/>
                                  <w:marTop w:val="0"/>
                                  <w:marBottom w:val="0"/>
                                  <w:divBdr>
                                    <w:top w:val="none" w:sz="0" w:space="0" w:color="auto"/>
                                    <w:left w:val="none" w:sz="0" w:space="0" w:color="auto"/>
                                    <w:bottom w:val="none" w:sz="0" w:space="0" w:color="auto"/>
                                    <w:right w:val="none" w:sz="0" w:space="0" w:color="auto"/>
                                  </w:divBdr>
                                </w:div>
                              </w:divsChild>
                            </w:div>
                            <w:div w:id="1662537792">
                              <w:marLeft w:val="0"/>
                              <w:marRight w:val="0"/>
                              <w:marTop w:val="0"/>
                              <w:marBottom w:val="0"/>
                              <w:divBdr>
                                <w:top w:val="none" w:sz="0" w:space="0" w:color="auto"/>
                                <w:left w:val="none" w:sz="0" w:space="0" w:color="auto"/>
                                <w:bottom w:val="none" w:sz="0" w:space="0" w:color="auto"/>
                                <w:right w:val="none" w:sz="0" w:space="0" w:color="auto"/>
                              </w:divBdr>
                              <w:divsChild>
                                <w:div w:id="1752119674">
                                  <w:marLeft w:val="0"/>
                                  <w:marRight w:val="0"/>
                                  <w:marTop w:val="0"/>
                                  <w:marBottom w:val="0"/>
                                  <w:divBdr>
                                    <w:top w:val="none" w:sz="0" w:space="0" w:color="auto"/>
                                    <w:left w:val="none" w:sz="0" w:space="0" w:color="auto"/>
                                    <w:bottom w:val="none" w:sz="0" w:space="0" w:color="auto"/>
                                    <w:right w:val="none" w:sz="0" w:space="0" w:color="auto"/>
                                  </w:divBdr>
                                </w:div>
                                <w:div w:id="271716539">
                                  <w:marLeft w:val="0"/>
                                  <w:marRight w:val="0"/>
                                  <w:marTop w:val="0"/>
                                  <w:marBottom w:val="0"/>
                                  <w:divBdr>
                                    <w:top w:val="none" w:sz="0" w:space="0" w:color="auto"/>
                                    <w:left w:val="none" w:sz="0" w:space="0" w:color="auto"/>
                                    <w:bottom w:val="none" w:sz="0" w:space="0" w:color="auto"/>
                                    <w:right w:val="none" w:sz="0" w:space="0" w:color="auto"/>
                                  </w:divBdr>
                                </w:div>
                                <w:div w:id="1620454546">
                                  <w:marLeft w:val="0"/>
                                  <w:marRight w:val="0"/>
                                  <w:marTop w:val="0"/>
                                  <w:marBottom w:val="0"/>
                                  <w:divBdr>
                                    <w:top w:val="none" w:sz="0" w:space="0" w:color="auto"/>
                                    <w:left w:val="none" w:sz="0" w:space="0" w:color="auto"/>
                                    <w:bottom w:val="none" w:sz="0" w:space="0" w:color="auto"/>
                                    <w:right w:val="none" w:sz="0" w:space="0" w:color="auto"/>
                                  </w:divBdr>
                                  <w:divsChild>
                                    <w:div w:id="1794664284">
                                      <w:blockQuote w:val="1"/>
                                      <w:marLeft w:val="480"/>
                                      <w:marRight w:val="480"/>
                                      <w:marTop w:val="240"/>
                                      <w:marBottom w:val="240"/>
                                      <w:divBdr>
                                        <w:top w:val="none" w:sz="0" w:space="0" w:color="auto"/>
                                        <w:left w:val="none" w:sz="0" w:space="0" w:color="auto"/>
                                        <w:bottom w:val="none" w:sz="0" w:space="0" w:color="auto"/>
                                        <w:right w:val="none" w:sz="0" w:space="0" w:color="auto"/>
                                      </w:divBdr>
                                    </w:div>
                                  </w:divsChild>
                                </w:div>
                                <w:div w:id="1726248704">
                                  <w:marLeft w:val="0"/>
                                  <w:marRight w:val="0"/>
                                  <w:marTop w:val="0"/>
                                  <w:marBottom w:val="0"/>
                                  <w:divBdr>
                                    <w:top w:val="none" w:sz="0" w:space="0" w:color="auto"/>
                                    <w:left w:val="none" w:sz="0" w:space="0" w:color="auto"/>
                                    <w:bottom w:val="none" w:sz="0" w:space="0" w:color="auto"/>
                                    <w:right w:val="none" w:sz="0" w:space="0" w:color="auto"/>
                                  </w:divBdr>
                                </w:div>
                              </w:divsChild>
                            </w:div>
                            <w:div w:id="992292570">
                              <w:marLeft w:val="0"/>
                              <w:marRight w:val="0"/>
                              <w:marTop w:val="0"/>
                              <w:marBottom w:val="0"/>
                              <w:divBdr>
                                <w:top w:val="none" w:sz="0" w:space="0" w:color="auto"/>
                                <w:left w:val="none" w:sz="0" w:space="0" w:color="auto"/>
                                <w:bottom w:val="none" w:sz="0" w:space="0" w:color="auto"/>
                                <w:right w:val="none" w:sz="0" w:space="0" w:color="auto"/>
                              </w:divBdr>
                              <w:divsChild>
                                <w:div w:id="1323701147">
                                  <w:blockQuote w:val="1"/>
                                  <w:marLeft w:val="480"/>
                                  <w:marRight w:val="48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oxfordre.com/planetaryscience/view/10.1093/acrefore/9780190647926.001.0001/acrefore-9780190647926-e-40" TargetMode="External"/><Relationship Id="rId18" Type="http://schemas.openxmlformats.org/officeDocument/2006/relationships/hyperlink" Target="https://oxfordre.com/planetaryscience/view/10.1093/acrefore/9780190647926.001.0001/acrefore-9780190647926-e-40" TargetMode="External"/><Relationship Id="rId26" Type="http://schemas.openxmlformats.org/officeDocument/2006/relationships/hyperlink" Target="https://oxfordre.com/planetaryscience/view/10.1093/acrefore/9780190647926.001.0001/acrefore-9780190647926-e-40" TargetMode="External"/><Relationship Id="rId39" Type="http://schemas.openxmlformats.org/officeDocument/2006/relationships/hyperlink" Target="https://oxfordre.com/planetaryscience/view/10.1093/acrefore/9780190647926.001.0001/acrefore-9780190647926-e-40" TargetMode="External"/><Relationship Id="rId21" Type="http://schemas.openxmlformats.org/officeDocument/2006/relationships/hyperlink" Target="https://oxfordre.com/planetaryscience/view/10.1093/acrefore/9780190647926.001.0001/acrefore-9780190647926-e-40" TargetMode="External"/><Relationship Id="rId34" Type="http://schemas.openxmlformats.org/officeDocument/2006/relationships/hyperlink" Target="https://oxfordre.com/planetaryscience/view/10.1093/acrefore/9780190647926.001.0001/acrefore-9780190647926-e-40" TargetMode="External"/><Relationship Id="rId42" Type="http://schemas.openxmlformats.org/officeDocument/2006/relationships/hyperlink" Target="https://oxfordre.com/planetaryscience/view/10.1093/acrefore/9780190647926.001.0001/acrefore-9780190647926-e-40" TargetMode="External"/><Relationship Id="rId47" Type="http://schemas.openxmlformats.org/officeDocument/2006/relationships/hyperlink" Target="https://oxfordre.com/planetaryscience/view/10.1093/acrefore/9780190647926.001.0001/acrefore-9780190647926-e-40" TargetMode="External"/><Relationship Id="rId50" Type="http://schemas.openxmlformats.org/officeDocument/2006/relationships/hyperlink" Target="https://oxfordre.com/planetaryscience/view/10.1093/acrefore/9780190647926.001.0001/acrefore-9780190647926-e-40" TargetMode="External"/><Relationship Id="rId55" Type="http://schemas.openxmlformats.org/officeDocument/2006/relationships/theme" Target="theme/theme1.xml"/><Relationship Id="rId7" Type="http://schemas.openxmlformats.org/officeDocument/2006/relationships/hyperlink" Target="https://oxfordre.com/planetaryscience/view/10.1093/acrefore/9780190647926.001.0001/acrefore-9780190647926-e-40" TargetMode="External"/><Relationship Id="rId12" Type="http://schemas.openxmlformats.org/officeDocument/2006/relationships/hyperlink" Target="https://oxfordre.com/planetaryscience/view/10.1093/acrefore/9780190647926.001.0001/acrefore-9780190647926-e-40" TargetMode="External"/><Relationship Id="rId17" Type="http://schemas.openxmlformats.org/officeDocument/2006/relationships/hyperlink" Target="https://oxfordre.com/planetaryscience/view/10.1093/acrefore/9780190647926.001.0001/acrefore-9780190647926-e-40" TargetMode="External"/><Relationship Id="rId25" Type="http://schemas.openxmlformats.org/officeDocument/2006/relationships/hyperlink" Target="https://oxfordre.com/planetaryscience/view/10.1093/acrefore/9780190647926.001.0001/acrefore-9780190647926-e-40" TargetMode="External"/><Relationship Id="rId33" Type="http://schemas.openxmlformats.org/officeDocument/2006/relationships/hyperlink" Target="https://oxfordre.com/planetaryscience/view/10.1093/acrefore/9780190647926.001.0001/acrefore-9780190647926-e-40" TargetMode="External"/><Relationship Id="rId38" Type="http://schemas.openxmlformats.org/officeDocument/2006/relationships/hyperlink" Target="https://oxfordre.com/planetaryscience/view/10.1093/acrefore/9780190647926.001.0001/acrefore-9780190647926-e-40" TargetMode="External"/><Relationship Id="rId46" Type="http://schemas.openxmlformats.org/officeDocument/2006/relationships/hyperlink" Target="https://oxfordre.com/planetaryscience/view/10.1093/acrefore/9780190647926.001.0001/acrefore-9780190647926-e-40" TargetMode="External"/><Relationship Id="rId2" Type="http://schemas.openxmlformats.org/officeDocument/2006/relationships/styles" Target="styles.xml"/><Relationship Id="rId16" Type="http://schemas.openxmlformats.org/officeDocument/2006/relationships/hyperlink" Target="https://oxfordre.com/planetaryscience/view/10.1093/acrefore/9780190647926.001.0001/acrefore-9780190647926-e-40" TargetMode="External"/><Relationship Id="rId20" Type="http://schemas.openxmlformats.org/officeDocument/2006/relationships/hyperlink" Target="https://oxfordre.com/planetaryscience/view/10.1093/acrefore/9780190647926.001.0001/acrefore-9780190647926-e-40" TargetMode="External"/><Relationship Id="rId29" Type="http://schemas.openxmlformats.org/officeDocument/2006/relationships/hyperlink" Target="https://oxfordre.com/planetaryscience/view/10.1093/acrefore/9780190647926.001.0001/acrefore-9780190647926-e-40" TargetMode="External"/><Relationship Id="rId41" Type="http://schemas.openxmlformats.org/officeDocument/2006/relationships/hyperlink" Target="https://oxfordre.com/planetaryscience/view/10.1093/acrefore/9780190647926.001.0001/acrefore-9780190647926-e-40"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oxfordre.com/planetaryscience/view/10.1093/acrefore/9780190647926.001.0001/acrefore-9780190647926-e-40" TargetMode="External"/><Relationship Id="rId11" Type="http://schemas.openxmlformats.org/officeDocument/2006/relationships/hyperlink" Target="https://oxfordre.com/planetaryscience/view/10.1093/acrefore/9780190647926.001.0001/acrefore-9780190647926-e-40" TargetMode="External"/><Relationship Id="rId24" Type="http://schemas.openxmlformats.org/officeDocument/2006/relationships/hyperlink" Target="https://oxfordre.com/planetaryscience/view/10.1093/acrefore/9780190647926.001.0001/acrefore-9780190647926-e-40" TargetMode="External"/><Relationship Id="rId32" Type="http://schemas.openxmlformats.org/officeDocument/2006/relationships/hyperlink" Target="https://oxfordre.com/planetaryscience/view/10.1093/acrefore/9780190647926.001.0001/acrefore-9780190647926-e-40" TargetMode="External"/><Relationship Id="rId37" Type="http://schemas.openxmlformats.org/officeDocument/2006/relationships/hyperlink" Target="https://oxfordre.com/planetaryscience/view/10.1093/acrefore/9780190647926.001.0001/acrefore-9780190647926-e-40" TargetMode="External"/><Relationship Id="rId40" Type="http://schemas.openxmlformats.org/officeDocument/2006/relationships/hyperlink" Target="https://oxfordre.com/planetaryscience/view/10.1093/acrefore/9780190647926.001.0001/acrefore-9780190647926-e-40" TargetMode="External"/><Relationship Id="rId45" Type="http://schemas.openxmlformats.org/officeDocument/2006/relationships/hyperlink" Target="https://oxfordre.com/planetaryscience/view/10.1093/acrefore/9780190647926.001.0001/acrefore-9780190647926-e-40" TargetMode="External"/><Relationship Id="rId53" Type="http://schemas.openxmlformats.org/officeDocument/2006/relationships/image" Target="media/image2.jpeg"/><Relationship Id="rId5" Type="http://schemas.openxmlformats.org/officeDocument/2006/relationships/image" Target="media/image1.jpeg"/><Relationship Id="rId15" Type="http://schemas.openxmlformats.org/officeDocument/2006/relationships/hyperlink" Target="https://oxfordre.com/planetaryscience/view/10.1093/acrefore/9780190647926.001.0001/acrefore-9780190647926-e-40" TargetMode="External"/><Relationship Id="rId23" Type="http://schemas.openxmlformats.org/officeDocument/2006/relationships/hyperlink" Target="https://oxfordre.com/planetaryscience/view/10.1093/acrefore/9780190647926.001.0001/acrefore-9780190647926-e-40" TargetMode="External"/><Relationship Id="rId28" Type="http://schemas.openxmlformats.org/officeDocument/2006/relationships/hyperlink" Target="https://oxfordre.com/planetaryscience/view/10.1093/acrefore/9780190647926.001.0001/acrefore-9780190647926-e-40" TargetMode="External"/><Relationship Id="rId36" Type="http://schemas.openxmlformats.org/officeDocument/2006/relationships/hyperlink" Target="https://oxfordre.com/planetaryscience/view/10.1093/acrefore/9780190647926.001.0001/acrefore-9780190647926-e-40" TargetMode="External"/><Relationship Id="rId49" Type="http://schemas.openxmlformats.org/officeDocument/2006/relationships/hyperlink" Target="https://oxfordre.com/planetaryscience/view/10.1093/acrefore/9780190647926.001.0001/acrefore-9780190647926-e-40" TargetMode="External"/><Relationship Id="rId10" Type="http://schemas.openxmlformats.org/officeDocument/2006/relationships/hyperlink" Target="https://oxfordre.com/planetaryscience/view/10.1093/acrefore/9780190647926.001.0001/acrefore-9780190647926-e-40" TargetMode="External"/><Relationship Id="rId19" Type="http://schemas.openxmlformats.org/officeDocument/2006/relationships/hyperlink" Target="https://oxfordre.com/planetaryscience/view/10.1093/acrefore/9780190647926.001.0001/acrefore-9780190647926-e-40" TargetMode="External"/><Relationship Id="rId31" Type="http://schemas.openxmlformats.org/officeDocument/2006/relationships/hyperlink" Target="https://oxfordre.com/planetaryscience/view/10.1093/acrefore/9780190647926.001.0001/acrefore-9780190647926-e-40" TargetMode="External"/><Relationship Id="rId44" Type="http://schemas.openxmlformats.org/officeDocument/2006/relationships/hyperlink" Target="https://oxfordre.com/planetaryscience/view/10.1093/acrefore/9780190647926.001.0001/acrefore-9780190647926-e-40" TargetMode="External"/><Relationship Id="rId52" Type="http://schemas.openxmlformats.org/officeDocument/2006/relationships/hyperlink" Target="https://oxfordre.com/planetaryscience/view/10.1093/acrefore/9780190647926.001.0001/acrefore-9780190647926-e-40" TargetMode="External"/><Relationship Id="rId4" Type="http://schemas.openxmlformats.org/officeDocument/2006/relationships/webSettings" Target="webSettings.xml"/><Relationship Id="rId9" Type="http://schemas.openxmlformats.org/officeDocument/2006/relationships/hyperlink" Target="https://oxfordre.com/planetaryscience/view/10.1093/acrefore/9780190647926.001.0001/acrefore-9780190647926-e-40" TargetMode="External"/><Relationship Id="rId14" Type="http://schemas.openxmlformats.org/officeDocument/2006/relationships/hyperlink" Target="https://oxfordre.com/planetaryscience/view/10.1093/acrefore/9780190647926.001.0001/acrefore-9780190647926-e-40" TargetMode="External"/><Relationship Id="rId22" Type="http://schemas.openxmlformats.org/officeDocument/2006/relationships/hyperlink" Target="https://oxfordre.com/planetaryscience/view/10.1093/acrefore/9780190647926.001.0001/acrefore-9780190647926-e-40" TargetMode="External"/><Relationship Id="rId27" Type="http://schemas.openxmlformats.org/officeDocument/2006/relationships/hyperlink" Target="https://oxfordre.com/planetaryscience/view/10.1093/acrefore/9780190647926.001.0001/acrefore-9780190647926-e-40" TargetMode="External"/><Relationship Id="rId30" Type="http://schemas.openxmlformats.org/officeDocument/2006/relationships/hyperlink" Target="https://oxfordre.com/planetaryscience/view/10.1093/acrefore/9780190647926.001.0001/acrefore-9780190647926-e-40" TargetMode="External"/><Relationship Id="rId35" Type="http://schemas.openxmlformats.org/officeDocument/2006/relationships/hyperlink" Target="https://oxfordre.com/planetaryscience/view/10.1093/acrefore/9780190647926.001.0001/acrefore-9780190647926-e-40" TargetMode="External"/><Relationship Id="rId43" Type="http://schemas.openxmlformats.org/officeDocument/2006/relationships/hyperlink" Target="https://oxfordre.com/planetaryscience/view/10.1093/acrefore/9780190647926.001.0001/acrefore-9780190647926-e-40" TargetMode="External"/><Relationship Id="rId48" Type="http://schemas.openxmlformats.org/officeDocument/2006/relationships/hyperlink" Target="https://oxfordre.com/planetaryscience/view/10.1093/acrefore/9780190647926.001.0001/acrefore-9780190647926-e-40" TargetMode="External"/><Relationship Id="rId8" Type="http://schemas.openxmlformats.org/officeDocument/2006/relationships/hyperlink" Target="https://oxfordre.com/planetaryscience/view/10.1093/acrefore/9780190647926.001.0001/acrefore-9780190647926-e-40" TargetMode="External"/><Relationship Id="rId51" Type="http://schemas.openxmlformats.org/officeDocument/2006/relationships/hyperlink" Target="https://oxfordre.com/planetaryscience/view/10.1093/acrefore/9780190647926.001.0001/acrefore-9780190647926-e-40" TargetMode="External"/><Relationship Id="rId3"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10</Pages>
  <Words>6910</Words>
  <Characters>40771</Characters>
  <Application>Microsoft Office Word</Application>
  <DocSecurity>0</DocSecurity>
  <Lines>339</Lines>
  <Paragraphs>95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47586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4</cp:revision>
  <dcterms:created xsi:type="dcterms:W3CDTF">2020-04-13T17:54:00Z</dcterms:created>
  <dcterms:modified xsi:type="dcterms:W3CDTF">2020-04-14T07:34:00Z</dcterms:modified>
</cp:coreProperties>
</file>