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5C0CCA">
        <w:rPr>
          <w:lang w:val="de-DE"/>
        </w:rPr>
        <w:t>Thematische Progression</w:t>
      </w:r>
    </w:p>
    <w:p w:rsidR="00B12E43" w:rsidRDefault="00BE66B0" w:rsidP="002408ED">
      <w:pPr>
        <w:spacing w:after="120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Unter </w:t>
      </w:r>
      <w:r w:rsidRPr="00402C62">
        <w:rPr>
          <w:rFonts w:ascii="Bookman Old Style" w:hAnsi="Bookman Old Style"/>
          <w:sz w:val="26"/>
          <w:szCs w:val="26"/>
          <w:highlight w:val="cyan"/>
          <w:lang w:val="de-DE"/>
        </w:rPr>
        <w:t>thematischer Progression</w:t>
      </w:r>
      <w:r>
        <w:rPr>
          <w:rFonts w:ascii="Bookman Old Style" w:hAnsi="Bookman Old Style"/>
          <w:sz w:val="26"/>
          <w:szCs w:val="26"/>
          <w:lang w:val="de-DE"/>
        </w:rPr>
        <w:t xml:space="preserve"> versteht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Daneš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(1974: 114)</w:t>
      </w:r>
      <w:r w:rsidR="009231F6">
        <w:rPr>
          <w:rFonts w:ascii="Bookman Old Style" w:hAnsi="Bookman Old Style"/>
          <w:sz w:val="26"/>
          <w:szCs w:val="26"/>
          <w:lang w:val="de-DE"/>
        </w:rPr>
        <w:t xml:space="preserve"> die Auswahl und Ordnung von Themen im Satz, ihre Verkettung untereinander und Hierarchiebildung, ebenso wie ihre Beziehung zu übergeordneten </w:t>
      </w:r>
      <w:r w:rsidR="00402C62">
        <w:rPr>
          <w:rFonts w:ascii="Bookman Old Style" w:hAnsi="Bookman Old Style"/>
          <w:sz w:val="26"/>
          <w:szCs w:val="26"/>
          <w:lang w:val="de-DE"/>
        </w:rPr>
        <w:t xml:space="preserve">Themen größerer Texteinheiten. Es gibt drei Hauptarten von thematischer Progression: 1. Einfache lineare thematische Progression; 2. Thematische Progression mit durchlaufendem Thema; 3. Thematische Progression mit abgeleiteten Themen. </w:t>
      </w:r>
    </w:p>
    <w:p w:rsidR="00402C62" w:rsidRDefault="00402C62" w:rsidP="002408ED">
      <w:pPr>
        <w:spacing w:after="120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Bei der </w:t>
      </w:r>
      <w:r w:rsidRPr="00402C62">
        <w:rPr>
          <w:rFonts w:ascii="Bookman Old Style" w:hAnsi="Bookman Old Style"/>
          <w:sz w:val="26"/>
          <w:szCs w:val="26"/>
          <w:highlight w:val="cyan"/>
          <w:lang w:val="de-DE"/>
        </w:rPr>
        <w:t>einfachen linearen Progression</w:t>
      </w:r>
      <w:r>
        <w:rPr>
          <w:rFonts w:ascii="Bookman Old Style" w:hAnsi="Bookman Old Style"/>
          <w:sz w:val="26"/>
          <w:szCs w:val="26"/>
          <w:lang w:val="de-DE"/>
        </w:rPr>
        <w:t xml:space="preserve"> wird das Rhema eines Satzes im nächsten Satz zum Thema</w:t>
      </w:r>
      <w:r w:rsidR="002408ED">
        <w:rPr>
          <w:rFonts w:ascii="Bookman Old Style" w:hAnsi="Bookman Old Style"/>
          <w:sz w:val="26"/>
          <w:szCs w:val="26"/>
          <w:lang w:val="de-DE"/>
        </w:rPr>
        <w:t xml:space="preserve"> (vgl. </w:t>
      </w:r>
      <w:proofErr w:type="spellStart"/>
      <w:r w:rsidR="002408ED">
        <w:rPr>
          <w:rFonts w:ascii="Bookman Old Style" w:hAnsi="Bookman Old Style"/>
          <w:sz w:val="26"/>
          <w:szCs w:val="26"/>
          <w:lang w:val="de-DE"/>
        </w:rPr>
        <w:t>Daneš</w:t>
      </w:r>
      <w:proofErr w:type="spellEnd"/>
      <w:r w:rsidR="002408ED">
        <w:rPr>
          <w:rFonts w:ascii="Bookman Old Style" w:hAnsi="Bookman Old Style"/>
          <w:sz w:val="26"/>
          <w:szCs w:val="26"/>
          <w:lang w:val="de-DE"/>
        </w:rPr>
        <w:t xml:space="preserve"> 1974: 118)</w:t>
      </w:r>
      <w:r>
        <w:rPr>
          <w:rFonts w:ascii="Bookman Old Style" w:hAnsi="Bookman Old Style"/>
          <w:sz w:val="26"/>
          <w:szCs w:val="26"/>
          <w:lang w:val="de-DE"/>
        </w:rPr>
        <w:t>:</w:t>
      </w:r>
    </w:p>
    <w:tbl>
      <w:tblPr>
        <w:tblStyle w:val="Mkatabulky"/>
        <w:tblW w:w="0" w:type="auto"/>
        <w:jc w:val="center"/>
        <w:tblInd w:w="173" w:type="dxa"/>
        <w:tblLook w:val="04A0" w:firstRow="1" w:lastRow="0" w:firstColumn="1" w:lastColumn="0" w:noHBand="0" w:noVBand="1"/>
      </w:tblPr>
      <w:tblGrid>
        <w:gridCol w:w="3753"/>
      </w:tblGrid>
      <w:tr w:rsidR="002408ED" w:rsidTr="002408ED">
        <w:trPr>
          <w:jc w:val="center"/>
        </w:trPr>
        <w:tc>
          <w:tcPr>
            <w:tcW w:w="3753" w:type="dxa"/>
          </w:tcPr>
          <w:p w:rsidR="002408ED" w:rsidRPr="002F6811" w:rsidRDefault="002408ED" w:rsidP="002408ED">
            <w:pPr>
              <w:spacing w:before="120" w:after="120" w:line="276" w:lineRule="auto"/>
              <w:ind w:firstLine="709"/>
              <w:jc w:val="both"/>
              <w:rPr>
                <w:rFonts w:ascii="Bookman Old Style" w:hAnsi="Bookman Old Style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 xml:space="preserve">T1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 xml:space="preserve">R1 </w:t>
            </w:r>
          </w:p>
          <w:p w:rsidR="002408ED" w:rsidRDefault="002408ED" w:rsidP="002408ED">
            <w:pPr>
              <w:spacing w:after="120" w:line="276" w:lineRule="auto"/>
              <w:ind w:left="708" w:firstLine="708"/>
              <w:jc w:val="both"/>
              <w:rPr>
                <w:rFonts w:ascii="Bookman Old Style" w:hAnsi="Bookman Old Style"/>
                <w:sz w:val="26"/>
                <w:szCs w:val="26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 xml:space="preserve">T2 (= R1)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>R2</w:t>
            </w:r>
          </w:p>
        </w:tc>
      </w:tr>
    </w:tbl>
    <w:p w:rsidR="002408ED" w:rsidRPr="002408ED" w:rsidRDefault="002408ED" w:rsidP="002408ED">
      <w:pPr>
        <w:spacing w:after="120"/>
        <w:jc w:val="both"/>
        <w:rPr>
          <w:rFonts w:ascii="Bookman Old Style" w:hAnsi="Bookman Old Style"/>
          <w:i/>
          <w:sz w:val="14"/>
          <w:szCs w:val="14"/>
          <w:lang w:val="de-DE"/>
        </w:rPr>
      </w:pPr>
    </w:p>
    <w:p w:rsidR="00402C62" w:rsidRPr="002408ED" w:rsidRDefault="00402C62" w:rsidP="002408ED">
      <w:pPr>
        <w:spacing w:after="120"/>
        <w:jc w:val="both"/>
        <w:rPr>
          <w:rFonts w:ascii="Bookman Old Style" w:hAnsi="Bookman Old Style"/>
          <w:i/>
          <w:lang w:val="de-DE"/>
        </w:rPr>
      </w:pPr>
      <w:r w:rsidRPr="002408ED">
        <w:rPr>
          <w:rFonts w:ascii="Bookman Old Style" w:hAnsi="Bookman Old Style"/>
          <w:i/>
          <w:lang w:val="de-DE"/>
        </w:rPr>
        <w:t xml:space="preserve">Sie entwickelten </w:t>
      </w:r>
      <w:r w:rsidRPr="002408ED">
        <w:rPr>
          <w:rFonts w:ascii="Bookman Old Style" w:hAnsi="Bookman Old Style"/>
          <w:i/>
          <w:u w:val="single"/>
          <w:lang w:val="de-DE"/>
        </w:rPr>
        <w:t>das Absorptionsverfahren, das durch die wechselnden Aggregatzustände von Ammoniak Kälte erzeugt</w:t>
      </w:r>
      <w:r w:rsidRPr="002408ED">
        <w:rPr>
          <w:rFonts w:ascii="Bookman Old Style" w:hAnsi="Bookman Old Style"/>
          <w:i/>
          <w:lang w:val="de-DE"/>
        </w:rPr>
        <w:t xml:space="preserve"> (R1). </w:t>
      </w:r>
      <w:r w:rsidRPr="002408ED">
        <w:rPr>
          <w:rFonts w:ascii="Bookman Old Style" w:hAnsi="Bookman Old Style"/>
          <w:i/>
          <w:u w:val="single"/>
          <w:lang w:val="de-DE"/>
        </w:rPr>
        <w:t>Diese Technik</w:t>
      </w:r>
      <w:r w:rsidRPr="002408ED">
        <w:rPr>
          <w:rFonts w:ascii="Bookman Old Style" w:hAnsi="Bookman Old Style"/>
          <w:i/>
          <w:lang w:val="de-DE"/>
        </w:rPr>
        <w:t xml:space="preserve"> (T2) war sicher, geräuschlos und ließ sich sowohl mit Strom als auch mit Gas betreiben.</w:t>
      </w:r>
    </w:p>
    <w:p w:rsidR="00402C62" w:rsidRDefault="00402C62" w:rsidP="002408ED">
      <w:pPr>
        <w:spacing w:after="120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Thematische </w:t>
      </w:r>
      <w:r w:rsidRPr="002408ED">
        <w:rPr>
          <w:rFonts w:ascii="Bookman Old Style" w:hAnsi="Bookman Old Style"/>
          <w:sz w:val="26"/>
          <w:szCs w:val="26"/>
          <w:highlight w:val="cyan"/>
          <w:lang w:val="de-DE"/>
        </w:rPr>
        <w:t>Progression mit durchlaufendem Thema</w:t>
      </w:r>
      <w:r>
        <w:rPr>
          <w:rFonts w:ascii="Bookman Old Style" w:hAnsi="Bookman Old Style"/>
          <w:sz w:val="26"/>
          <w:szCs w:val="26"/>
          <w:lang w:val="de-DE"/>
        </w:rPr>
        <w:t xml:space="preserve"> hingegen bedeutet, dass das gleiche Thema in einer Folge von Sätzen erscheint; diesem Thema schließen sich dann jew</w:t>
      </w:r>
      <w:r w:rsidR="002408ED">
        <w:rPr>
          <w:rFonts w:ascii="Bookman Old Style" w:hAnsi="Bookman Old Style"/>
          <w:sz w:val="26"/>
          <w:szCs w:val="26"/>
          <w:lang w:val="de-DE"/>
        </w:rPr>
        <w:t xml:space="preserve">eils unterschiedliche </w:t>
      </w:r>
      <w:proofErr w:type="spellStart"/>
      <w:r w:rsidR="002408ED">
        <w:rPr>
          <w:rFonts w:ascii="Bookman Old Style" w:hAnsi="Bookman Old Style"/>
          <w:sz w:val="26"/>
          <w:szCs w:val="26"/>
          <w:lang w:val="de-DE"/>
        </w:rPr>
        <w:t>Rhemen</w:t>
      </w:r>
      <w:proofErr w:type="spellEnd"/>
      <w:r w:rsidR="002408ED">
        <w:rPr>
          <w:rFonts w:ascii="Bookman Old Style" w:hAnsi="Bookman Old Style"/>
          <w:sz w:val="26"/>
          <w:szCs w:val="26"/>
          <w:lang w:val="de-DE"/>
        </w:rPr>
        <w:t xml:space="preserve"> an. Dadurch wird ein im Thema stehendes Sachverhältnis genau beleuchtet: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21"/>
      </w:tblGrid>
      <w:tr w:rsidR="002408ED" w:rsidTr="002F6811">
        <w:trPr>
          <w:jc w:val="center"/>
        </w:trPr>
        <w:tc>
          <w:tcPr>
            <w:tcW w:w="2321" w:type="dxa"/>
          </w:tcPr>
          <w:p w:rsidR="002408ED" w:rsidRPr="002F6811" w:rsidRDefault="002408ED" w:rsidP="002408ED">
            <w:pPr>
              <w:spacing w:before="120" w:after="120" w:line="276" w:lineRule="auto"/>
              <w:ind w:firstLine="709"/>
              <w:jc w:val="both"/>
              <w:rPr>
                <w:rFonts w:ascii="Bookman Old Style" w:hAnsi="Bookman Old Style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 xml:space="preserve">T1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 xml:space="preserve">R1 </w:t>
            </w:r>
          </w:p>
          <w:p w:rsidR="002408ED" w:rsidRDefault="002408ED" w:rsidP="002408ED">
            <w:pPr>
              <w:spacing w:after="120" w:line="276" w:lineRule="auto"/>
              <w:jc w:val="both"/>
              <w:rPr>
                <w:rFonts w:ascii="Bookman Old Style" w:hAnsi="Bookman Old Style"/>
                <w:sz w:val="26"/>
                <w:szCs w:val="26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ab/>
            </w:r>
            <w:r w:rsidRPr="002F6811">
              <w:rPr>
                <w:rFonts w:ascii="Bookman Old Style" w:hAnsi="Bookman Old Style"/>
                <w:lang w:val="de-DE"/>
              </w:rPr>
              <w:t>T</w:t>
            </w:r>
            <w:r w:rsidRPr="002F6811">
              <w:rPr>
                <w:rFonts w:ascii="Bookman Old Style" w:hAnsi="Bookman Old Style"/>
                <w:lang w:val="de-DE"/>
              </w:rPr>
              <w:t>1</w:t>
            </w:r>
            <w:r w:rsidRPr="002F6811">
              <w:rPr>
                <w:rFonts w:ascii="Bookman Old Style" w:hAnsi="Bookman Old Style"/>
                <w:lang w:val="de-DE"/>
              </w:rPr>
              <w:t xml:space="preserve">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>R2</w:t>
            </w:r>
          </w:p>
        </w:tc>
      </w:tr>
    </w:tbl>
    <w:p w:rsidR="002408ED" w:rsidRPr="002408ED" w:rsidRDefault="002408ED" w:rsidP="002408ED">
      <w:pPr>
        <w:spacing w:after="120"/>
        <w:jc w:val="both"/>
        <w:rPr>
          <w:rFonts w:ascii="Bookman Old Style" w:hAnsi="Bookman Old Style"/>
          <w:i/>
          <w:sz w:val="14"/>
          <w:szCs w:val="14"/>
          <w:lang w:val="de-DE"/>
        </w:rPr>
      </w:pPr>
    </w:p>
    <w:p w:rsidR="002408ED" w:rsidRPr="002408ED" w:rsidRDefault="002408ED" w:rsidP="002408ED">
      <w:pPr>
        <w:spacing w:after="120"/>
        <w:jc w:val="both"/>
        <w:rPr>
          <w:rFonts w:ascii="Bookman Old Style" w:hAnsi="Bookman Old Style"/>
          <w:i/>
          <w:lang w:val="de-DE"/>
        </w:rPr>
      </w:pPr>
      <w:r w:rsidRPr="002408ED">
        <w:rPr>
          <w:rFonts w:ascii="Bookman Old Style" w:hAnsi="Bookman Old Style"/>
          <w:i/>
          <w:u w:val="single"/>
          <w:lang w:val="de-DE"/>
        </w:rPr>
        <w:t>Die belgische Verkehrsministerin Isabelle Durant</w:t>
      </w:r>
      <w:r w:rsidRPr="002408ED">
        <w:rPr>
          <w:rFonts w:ascii="Bookman Old Style" w:hAnsi="Bookman Old Style"/>
          <w:i/>
          <w:lang w:val="de-DE"/>
        </w:rPr>
        <w:t xml:space="preserve"> (T1) zeigte Verständnis für die Sorgen der Eisenbahner. </w:t>
      </w:r>
      <w:r w:rsidRPr="002408ED">
        <w:rPr>
          <w:rFonts w:ascii="Bookman Old Style" w:hAnsi="Bookman Old Style"/>
          <w:i/>
          <w:u w:val="single"/>
          <w:lang w:val="de-DE"/>
        </w:rPr>
        <w:t>Die Grünen-Politikerin</w:t>
      </w:r>
      <w:r w:rsidRPr="002408ED">
        <w:rPr>
          <w:rFonts w:ascii="Bookman Old Style" w:hAnsi="Bookman Old Style"/>
          <w:i/>
          <w:lang w:val="de-DE"/>
        </w:rPr>
        <w:t xml:space="preserve"> (T1) kündigte zusätzliche Investitionen zur Modernisierung der Eisenbahnnetze an. </w:t>
      </w:r>
    </w:p>
    <w:p w:rsidR="002408ED" w:rsidRDefault="002F6811" w:rsidP="002408ED">
      <w:pPr>
        <w:spacing w:after="120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Bei der </w:t>
      </w:r>
      <w:r w:rsidRPr="002F6811">
        <w:rPr>
          <w:rFonts w:ascii="Bookman Old Style" w:hAnsi="Bookman Old Style"/>
          <w:sz w:val="26"/>
          <w:szCs w:val="26"/>
          <w:highlight w:val="cyan"/>
          <w:lang w:val="de-DE"/>
        </w:rPr>
        <w:t>thematischen Progression mit abgeleiteten Themen</w:t>
      </w:r>
      <w:bookmarkStart w:id="0" w:name="_GoBack"/>
      <w:bookmarkEnd w:id="0"/>
      <w:r>
        <w:rPr>
          <w:rFonts w:ascii="Bookman Old Style" w:hAnsi="Bookman Old Style"/>
          <w:sz w:val="26"/>
          <w:szCs w:val="26"/>
          <w:lang w:val="de-DE"/>
        </w:rPr>
        <w:t xml:space="preserve"> leiten sich die einzelnen Sätze von einem übergeordneten Thema ab, z. B. dem Thema eines Absatzes (vgl.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Daneš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1974: 119). Dadurch werden Einzelheiten eines thematisierten Gegenstandes besser hervorgehoben: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306"/>
      </w:tblGrid>
      <w:tr w:rsidR="002F6811" w:rsidTr="002F6811">
        <w:trPr>
          <w:jc w:val="center"/>
        </w:trPr>
        <w:tc>
          <w:tcPr>
            <w:tcW w:w="4306" w:type="dxa"/>
          </w:tcPr>
          <w:p w:rsidR="002F6811" w:rsidRPr="002F6811" w:rsidRDefault="002F6811" w:rsidP="002F6811">
            <w:pPr>
              <w:spacing w:before="120" w:after="120" w:line="276" w:lineRule="auto"/>
              <w:jc w:val="center"/>
              <w:rPr>
                <w:rFonts w:ascii="Bookman Old Style" w:hAnsi="Bookman Old Style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>T</w:t>
            </w:r>
          </w:p>
          <w:p w:rsidR="002F6811" w:rsidRDefault="002F6811" w:rsidP="002F6811">
            <w:pPr>
              <w:spacing w:after="120" w:line="276" w:lineRule="auto"/>
              <w:jc w:val="center"/>
              <w:rPr>
                <w:rFonts w:ascii="Bookman Old Style" w:hAnsi="Bookman Old Style"/>
                <w:sz w:val="26"/>
                <w:szCs w:val="26"/>
                <w:lang w:val="de-DE"/>
              </w:rPr>
            </w:pPr>
            <w:r w:rsidRPr="002F6811">
              <w:rPr>
                <w:rFonts w:ascii="Bookman Old Style" w:hAnsi="Bookman Old Style"/>
                <w:lang w:val="de-DE"/>
              </w:rPr>
              <w:t xml:space="preserve">T1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 xml:space="preserve">R1  </w:t>
            </w:r>
            <w:r w:rsidRPr="002F6811">
              <w:rPr>
                <w:rFonts w:ascii="Bookman Old Style" w:hAnsi="Bookman Old Style"/>
                <w:lang w:val="de-DE"/>
              </w:rPr>
              <w:t>………</w:t>
            </w:r>
            <w:r w:rsidRPr="002F6811">
              <w:rPr>
                <w:rFonts w:ascii="Bookman Old Style" w:hAnsi="Bookman Old Style"/>
                <w:lang w:val="de-DE"/>
              </w:rPr>
              <w:t xml:space="preserve"> </w:t>
            </w:r>
            <w:r w:rsidRPr="002F6811">
              <w:rPr>
                <w:rFonts w:ascii="Bookman Old Style" w:hAnsi="Bookman Old Style"/>
                <w:lang w:val="de-DE"/>
              </w:rPr>
              <w:t xml:space="preserve">T2 </w:t>
            </w:r>
            <w:r w:rsidRPr="002F6811">
              <w:rPr>
                <w:rFonts w:ascii="Times New Roman" w:hAnsi="Times New Roman" w:cs="Times New Roman"/>
                <w:lang w:val="de-DE"/>
              </w:rPr>
              <w:t xml:space="preserve">→ </w:t>
            </w:r>
            <w:r w:rsidRPr="002F6811">
              <w:rPr>
                <w:rFonts w:ascii="Bookman Old Style" w:hAnsi="Bookman Old Style"/>
                <w:lang w:val="de-DE"/>
              </w:rPr>
              <w:t>R</w:t>
            </w:r>
            <w:r w:rsidRPr="002F6811">
              <w:rPr>
                <w:rFonts w:ascii="Bookman Old Style" w:hAnsi="Bookman Old Style"/>
                <w:lang w:val="de-DE"/>
              </w:rPr>
              <w:t>2</w:t>
            </w:r>
          </w:p>
        </w:tc>
      </w:tr>
    </w:tbl>
    <w:p w:rsidR="002F6811" w:rsidRPr="002F6811" w:rsidRDefault="002F6811" w:rsidP="002F6811">
      <w:pPr>
        <w:spacing w:after="120"/>
        <w:jc w:val="both"/>
        <w:rPr>
          <w:rFonts w:ascii="Bookman Old Style" w:hAnsi="Bookman Old Style"/>
          <w:i/>
          <w:sz w:val="14"/>
          <w:szCs w:val="14"/>
          <w:u w:val="single"/>
          <w:lang w:val="de-DE"/>
        </w:rPr>
      </w:pPr>
    </w:p>
    <w:p w:rsidR="002F6811" w:rsidRPr="00402C62" w:rsidRDefault="002F6811" w:rsidP="002F6811">
      <w:pPr>
        <w:spacing w:after="120"/>
        <w:jc w:val="both"/>
        <w:rPr>
          <w:rFonts w:ascii="Bookman Old Style" w:hAnsi="Bookman Old Style"/>
          <w:sz w:val="26"/>
          <w:szCs w:val="26"/>
          <w:lang w:val="de-DE"/>
        </w:rPr>
      </w:pPr>
      <w:r w:rsidRPr="002F6811">
        <w:rPr>
          <w:rFonts w:ascii="Bookman Old Style" w:hAnsi="Bookman Old Style"/>
          <w:i/>
          <w:u w:val="single"/>
          <w:lang w:val="de-DE"/>
        </w:rPr>
        <w:t>Die meisten dieser Sternsysteme</w:t>
      </w:r>
      <w:r>
        <w:rPr>
          <w:rFonts w:ascii="Bookman Old Style" w:hAnsi="Bookman Old Style"/>
          <w:i/>
          <w:lang w:val="de-DE"/>
        </w:rPr>
        <w:t xml:space="preserve"> (T) sind acht bis neun Milliarden Lichtjahre entfernt. </w:t>
      </w:r>
      <w:r w:rsidRPr="002F6811">
        <w:rPr>
          <w:rFonts w:ascii="Bookman Old Style" w:hAnsi="Bookman Old Style"/>
          <w:i/>
          <w:u w:val="single"/>
          <w:lang w:val="de-DE"/>
        </w:rPr>
        <w:t xml:space="preserve">Ihr Licht </w:t>
      </w:r>
      <w:r>
        <w:rPr>
          <w:rFonts w:ascii="Bookman Old Style" w:hAnsi="Bookman Old Style"/>
          <w:i/>
          <w:lang w:val="de-DE"/>
        </w:rPr>
        <w:t>(T1) ging auf die Reise, als das Universum etwa halb so alt war wie heute.</w:t>
      </w:r>
    </w:p>
    <w:sectPr w:rsidR="002F6811" w:rsidRPr="00402C62" w:rsidSect="006F67CC">
      <w:footerReference w:type="default" r:id="rId8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15D" w:rsidRDefault="001F715D" w:rsidP="00AF4753">
      <w:pPr>
        <w:spacing w:after="0" w:line="240" w:lineRule="auto"/>
      </w:pPr>
      <w:r>
        <w:separator/>
      </w:r>
    </w:p>
  </w:endnote>
  <w:endnote w:type="continuationSeparator" w:id="0">
    <w:p w:rsidR="001F715D" w:rsidRDefault="001F715D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proofErr w:type="spellEnd"/>
    <w:r>
      <w:rPr>
        <w:i/>
        <w:iCs/>
        <w:color w:val="8C8C8C" w:themeColor="background1" w:themeShade="8C"/>
      </w:rPr>
      <w:t>:</w:t>
    </w:r>
    <w:r w:rsidR="00723058">
      <w:rPr>
        <w:i/>
        <w:iCs/>
        <w:color w:val="8C8C8C" w:themeColor="background1" w:themeShade="8C"/>
      </w:rPr>
      <w:t xml:space="preserve"> </w:t>
    </w:r>
    <w:proofErr w:type="spellStart"/>
    <w:r w:rsidR="00BE66B0">
      <w:rPr>
        <w:i/>
        <w:iCs/>
        <w:color w:val="8C8C8C" w:themeColor="background1" w:themeShade="8C"/>
      </w:rPr>
      <w:t>Guber</w:t>
    </w:r>
    <w:proofErr w:type="spellEnd"/>
    <w:r w:rsidR="00BE66B0">
      <w:rPr>
        <w:i/>
        <w:iCs/>
        <w:color w:val="8C8C8C" w:themeColor="background1" w:themeShade="8C"/>
      </w:rPr>
      <w:t xml:space="preserve"> 2004</w:t>
    </w:r>
    <w:r w:rsidR="009231F6">
      <w:rPr>
        <w:i/>
        <w:iCs/>
        <w:color w:val="8C8C8C" w:themeColor="background1" w:themeShade="8C"/>
      </w:rPr>
      <w:t>,</w:t>
    </w:r>
    <w:r w:rsidR="00BE66B0">
      <w:rPr>
        <w:i/>
        <w:iCs/>
        <w:color w:val="8C8C8C" w:themeColor="background1" w:themeShade="8C"/>
      </w:rPr>
      <w:t xml:space="preserve"> 31-34</w:t>
    </w:r>
    <w:r w:rsidR="00B12E43">
      <w:rPr>
        <w:i/>
        <w:iCs/>
        <w:color w:val="8C8C8C" w:themeColor="background1" w:themeShade="8C"/>
      </w:rPr>
      <w:t>.</w:t>
    </w:r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15D" w:rsidRDefault="001F715D" w:rsidP="00AF4753">
      <w:pPr>
        <w:spacing w:after="0" w:line="240" w:lineRule="auto"/>
      </w:pPr>
      <w:r>
        <w:separator/>
      </w:r>
    </w:p>
  </w:footnote>
  <w:footnote w:type="continuationSeparator" w:id="0">
    <w:p w:rsidR="001F715D" w:rsidRDefault="001F715D" w:rsidP="00AF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63"/>
    <w:multiLevelType w:val="hybridMultilevel"/>
    <w:tmpl w:val="968E5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075A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148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277B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663C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590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15D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08ED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293B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2D28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E6F56"/>
    <w:rsid w:val="002F28A2"/>
    <w:rsid w:val="002F4774"/>
    <w:rsid w:val="002F5676"/>
    <w:rsid w:val="002F6811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0C4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D584A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3F46"/>
    <w:rsid w:val="003F401B"/>
    <w:rsid w:val="004001D9"/>
    <w:rsid w:val="004008CC"/>
    <w:rsid w:val="004012DF"/>
    <w:rsid w:val="00401945"/>
    <w:rsid w:val="0040220D"/>
    <w:rsid w:val="00402C62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29B6"/>
    <w:rsid w:val="004456FA"/>
    <w:rsid w:val="0044755B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9ED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C91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3C7D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2D34"/>
    <w:rsid w:val="005B6767"/>
    <w:rsid w:val="005B794C"/>
    <w:rsid w:val="005C05DF"/>
    <w:rsid w:val="005C0CCA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703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3058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3CE8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6ED6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8CB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1E96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1F6"/>
    <w:rsid w:val="00923280"/>
    <w:rsid w:val="0092546D"/>
    <w:rsid w:val="00927591"/>
    <w:rsid w:val="00931BDD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037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3B"/>
    <w:rsid w:val="00A129B6"/>
    <w:rsid w:val="00A13C64"/>
    <w:rsid w:val="00A329EA"/>
    <w:rsid w:val="00A33675"/>
    <w:rsid w:val="00A341FA"/>
    <w:rsid w:val="00A4081B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3E4E"/>
    <w:rsid w:val="00A63F2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2E4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0089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66B0"/>
    <w:rsid w:val="00BE7809"/>
    <w:rsid w:val="00BF1B91"/>
    <w:rsid w:val="00BF5E46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2848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085C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2E31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FF"/>
    <w:rsid w:val="00E436B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5696E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2BD8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21A1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5</cp:revision>
  <dcterms:created xsi:type="dcterms:W3CDTF">2019-07-15T13:09:00Z</dcterms:created>
  <dcterms:modified xsi:type="dcterms:W3CDTF">2019-07-15T14:54:00Z</dcterms:modified>
</cp:coreProperties>
</file>