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Mkatabulky"/>
        <w:tblW w:w="0" w:type="auto"/>
        <w:tblLook w:val="04A0" w:firstRow="1" w:lastRow="0" w:firstColumn="1" w:lastColumn="0" w:noHBand="0" w:noVBand="1"/>
      </w:tblPr>
      <w:tblGrid>
        <w:gridCol w:w="9212"/>
      </w:tblGrid>
      <w:tr w:rsidR="000F3306" w:rsidTr="000F3306">
        <w:tc>
          <w:tcPr>
            <w:tcW w:w="9212" w:type="dxa"/>
          </w:tcPr>
          <w:p w:rsidR="000F3306" w:rsidRPr="000F3306" w:rsidRDefault="000F3306" w:rsidP="000F3306">
            <w:pPr>
              <w:suppressAutoHyphens w:val="0"/>
              <w:spacing w:after="75" w:line="332" w:lineRule="atLeast"/>
              <w:jc w:val="center"/>
              <w:outlineLvl w:val="0"/>
              <w:rPr>
                <w:rFonts w:ascii="Arial" w:eastAsia="Times New Roman" w:hAnsi="Arial" w:cs="Arial"/>
                <w:b/>
                <w:bCs/>
                <w:color w:val="333333"/>
                <w:kern w:val="36"/>
                <w:sz w:val="22"/>
                <w:szCs w:val="22"/>
                <w:lang w:val="de-DE" w:eastAsia="cs-CZ"/>
              </w:rPr>
            </w:pPr>
            <w:r w:rsidRPr="000F3306">
              <w:rPr>
                <w:rFonts w:ascii="Arial" w:eastAsia="Times New Roman" w:hAnsi="Arial" w:cs="Arial"/>
                <w:b/>
                <w:bCs/>
                <w:color w:val="333333"/>
                <w:kern w:val="36"/>
                <w:sz w:val="22"/>
                <w:szCs w:val="22"/>
                <w:lang w:val="de-DE" w:eastAsia="cs-CZ"/>
              </w:rPr>
              <w:t>Bayerisches Gesetz über das Erziehungs- und Unterrichtswesen</w:t>
            </w:r>
            <w:r w:rsidRPr="000F3306">
              <w:rPr>
                <w:rFonts w:ascii="Arial" w:eastAsia="Times New Roman" w:hAnsi="Arial" w:cs="Arial"/>
                <w:b/>
                <w:bCs/>
                <w:color w:val="333333"/>
                <w:kern w:val="36"/>
                <w:sz w:val="22"/>
                <w:szCs w:val="22"/>
                <w:lang w:val="de-DE" w:eastAsia="cs-CZ"/>
              </w:rPr>
              <w:br/>
              <w:t>(</w:t>
            </w:r>
            <w:proofErr w:type="spellStart"/>
            <w:r w:rsidRPr="000F3306">
              <w:rPr>
                <w:rFonts w:ascii="Arial" w:eastAsia="Times New Roman" w:hAnsi="Arial" w:cs="Arial"/>
                <w:b/>
                <w:bCs/>
                <w:color w:val="333333"/>
                <w:kern w:val="36"/>
                <w:sz w:val="22"/>
                <w:szCs w:val="22"/>
                <w:lang w:val="de-DE" w:eastAsia="cs-CZ"/>
              </w:rPr>
              <w:t>BayEUG</w:t>
            </w:r>
            <w:proofErr w:type="spellEnd"/>
            <w:r w:rsidRPr="000F3306">
              <w:rPr>
                <w:rFonts w:ascii="Arial" w:eastAsia="Times New Roman" w:hAnsi="Arial" w:cs="Arial"/>
                <w:b/>
                <w:bCs/>
                <w:color w:val="333333"/>
                <w:kern w:val="36"/>
                <w:sz w:val="22"/>
                <w:szCs w:val="22"/>
                <w:lang w:val="de-DE" w:eastAsia="cs-CZ"/>
              </w:rPr>
              <w:t>)</w:t>
            </w:r>
            <w:r w:rsidRPr="000F3306">
              <w:rPr>
                <w:rFonts w:ascii="Arial" w:eastAsia="Times New Roman" w:hAnsi="Arial" w:cs="Arial"/>
                <w:b/>
                <w:bCs/>
                <w:color w:val="333333"/>
                <w:kern w:val="36"/>
                <w:sz w:val="22"/>
                <w:szCs w:val="22"/>
                <w:lang w:val="de-DE" w:eastAsia="cs-CZ"/>
              </w:rPr>
              <w:br/>
              <w:t>in der Fassung der Bekanntmachung vom 31. Mai 2000</w:t>
            </w:r>
            <w:r w:rsidRPr="000F3306">
              <w:rPr>
                <w:rFonts w:ascii="Arial" w:eastAsia="Times New Roman" w:hAnsi="Arial" w:cs="Arial"/>
                <w:b/>
                <w:bCs/>
                <w:color w:val="333333"/>
                <w:kern w:val="36"/>
                <w:sz w:val="22"/>
                <w:szCs w:val="22"/>
                <w:lang w:val="de-DE" w:eastAsia="cs-CZ"/>
              </w:rPr>
              <w:br/>
              <w:t>(</w:t>
            </w:r>
            <w:proofErr w:type="spellStart"/>
            <w:r w:rsidRPr="000F3306">
              <w:rPr>
                <w:rFonts w:ascii="Arial" w:eastAsia="Times New Roman" w:hAnsi="Arial" w:cs="Arial"/>
                <w:b/>
                <w:bCs/>
                <w:color w:val="333333"/>
                <w:kern w:val="36"/>
                <w:sz w:val="22"/>
                <w:szCs w:val="22"/>
                <w:lang w:val="de-DE" w:eastAsia="cs-CZ"/>
              </w:rPr>
              <w:t>GVBl</w:t>
            </w:r>
            <w:proofErr w:type="spellEnd"/>
            <w:r w:rsidRPr="000F3306">
              <w:rPr>
                <w:rFonts w:ascii="Arial" w:eastAsia="Times New Roman" w:hAnsi="Arial" w:cs="Arial"/>
                <w:b/>
                <w:bCs/>
                <w:color w:val="333333"/>
                <w:kern w:val="36"/>
                <w:sz w:val="22"/>
                <w:szCs w:val="22"/>
                <w:lang w:val="de-DE" w:eastAsia="cs-CZ"/>
              </w:rPr>
              <w:t>. S. 414, 632)</w:t>
            </w:r>
            <w:r w:rsidRPr="000F3306">
              <w:rPr>
                <w:rFonts w:ascii="Arial" w:eastAsia="Times New Roman" w:hAnsi="Arial" w:cs="Arial"/>
                <w:b/>
                <w:bCs/>
                <w:color w:val="333333"/>
                <w:kern w:val="36"/>
                <w:sz w:val="22"/>
                <w:szCs w:val="22"/>
                <w:lang w:val="de-DE" w:eastAsia="cs-CZ"/>
              </w:rPr>
              <w:br/>
            </w:r>
            <w:proofErr w:type="spellStart"/>
            <w:r w:rsidRPr="000F3306">
              <w:rPr>
                <w:rFonts w:ascii="Arial" w:eastAsia="Times New Roman" w:hAnsi="Arial" w:cs="Arial"/>
                <w:b/>
                <w:bCs/>
                <w:color w:val="333333"/>
                <w:kern w:val="36"/>
                <w:sz w:val="22"/>
                <w:szCs w:val="22"/>
                <w:lang w:val="de-DE" w:eastAsia="cs-CZ"/>
              </w:rPr>
              <w:t>BayRS</w:t>
            </w:r>
            <w:proofErr w:type="spellEnd"/>
            <w:r w:rsidRPr="000F3306">
              <w:rPr>
                <w:rFonts w:ascii="Arial" w:eastAsia="Times New Roman" w:hAnsi="Arial" w:cs="Arial"/>
                <w:b/>
                <w:bCs/>
                <w:color w:val="333333"/>
                <w:kern w:val="36"/>
                <w:sz w:val="22"/>
                <w:szCs w:val="22"/>
                <w:lang w:val="de-DE" w:eastAsia="cs-CZ"/>
              </w:rPr>
              <w:t xml:space="preserve"> 2230-1-1-K</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 xml:space="preserve">Vollzitat nach </w:t>
            </w:r>
            <w:proofErr w:type="spellStart"/>
            <w:r w:rsidRPr="000F3306">
              <w:rPr>
                <w:rFonts w:ascii="Arial" w:eastAsia="Times New Roman" w:hAnsi="Arial" w:cs="Arial"/>
                <w:color w:val="333333"/>
                <w:sz w:val="19"/>
                <w:szCs w:val="19"/>
                <w:lang w:val="de-DE" w:eastAsia="cs-CZ"/>
              </w:rPr>
              <w:t>RedR</w:t>
            </w:r>
            <w:proofErr w:type="spellEnd"/>
            <w:r w:rsidRPr="000F3306">
              <w:rPr>
                <w:rFonts w:ascii="Arial" w:eastAsia="Times New Roman" w:hAnsi="Arial" w:cs="Arial"/>
                <w:color w:val="333333"/>
                <w:sz w:val="19"/>
                <w:szCs w:val="19"/>
                <w:lang w:val="de-DE" w:eastAsia="cs-CZ"/>
              </w:rPr>
              <w:t>: Bayerisches Gesetz über das Erziehungs- und Unterrichtswesen (</w:t>
            </w:r>
            <w:proofErr w:type="spellStart"/>
            <w:r w:rsidRPr="000F3306">
              <w:rPr>
                <w:rFonts w:ascii="Arial" w:eastAsia="Times New Roman" w:hAnsi="Arial" w:cs="Arial"/>
                <w:color w:val="333333"/>
                <w:sz w:val="19"/>
                <w:szCs w:val="19"/>
                <w:lang w:val="de-DE" w:eastAsia="cs-CZ"/>
              </w:rPr>
              <w:t>BayEUG</w:t>
            </w:r>
            <w:proofErr w:type="spellEnd"/>
            <w:r w:rsidRPr="000F3306">
              <w:rPr>
                <w:rFonts w:ascii="Arial" w:eastAsia="Times New Roman" w:hAnsi="Arial" w:cs="Arial"/>
                <w:color w:val="333333"/>
                <w:sz w:val="19"/>
                <w:szCs w:val="19"/>
                <w:lang w:val="de-DE" w:eastAsia="cs-CZ"/>
              </w:rPr>
              <w:t>) in der Fassung der Bekanntmachung vom 31. Mai 2000 (</w:t>
            </w:r>
            <w:proofErr w:type="spellStart"/>
            <w:r w:rsidRPr="000F3306">
              <w:rPr>
                <w:rFonts w:ascii="Arial" w:eastAsia="Times New Roman" w:hAnsi="Arial" w:cs="Arial"/>
                <w:color w:val="333333"/>
                <w:sz w:val="19"/>
                <w:szCs w:val="19"/>
                <w:lang w:val="de-DE" w:eastAsia="cs-CZ"/>
              </w:rPr>
              <w:t>GVBl</w:t>
            </w:r>
            <w:proofErr w:type="spellEnd"/>
            <w:r w:rsidRPr="000F3306">
              <w:rPr>
                <w:rFonts w:ascii="Arial" w:eastAsia="Times New Roman" w:hAnsi="Arial" w:cs="Arial"/>
                <w:color w:val="333333"/>
                <w:sz w:val="19"/>
                <w:szCs w:val="19"/>
                <w:lang w:val="de-DE" w:eastAsia="cs-CZ"/>
              </w:rPr>
              <w:t xml:space="preserve">. S. 414, 632, </w:t>
            </w:r>
            <w:proofErr w:type="spellStart"/>
            <w:r w:rsidRPr="000F3306">
              <w:rPr>
                <w:rFonts w:ascii="Arial" w:eastAsia="Times New Roman" w:hAnsi="Arial" w:cs="Arial"/>
                <w:color w:val="333333"/>
                <w:sz w:val="19"/>
                <w:szCs w:val="19"/>
                <w:lang w:val="de-DE" w:eastAsia="cs-CZ"/>
              </w:rPr>
              <w:t>BayRS</w:t>
            </w:r>
            <w:proofErr w:type="spellEnd"/>
            <w:r w:rsidRPr="000F3306">
              <w:rPr>
                <w:rFonts w:ascii="Arial" w:eastAsia="Times New Roman" w:hAnsi="Arial" w:cs="Arial"/>
                <w:color w:val="333333"/>
                <w:sz w:val="19"/>
                <w:szCs w:val="19"/>
                <w:lang w:val="de-DE" w:eastAsia="cs-CZ"/>
              </w:rPr>
              <w:t xml:space="preserve"> 2230-1-1-K), das zuletzt durch § 1 Abs. 206 der Verordnung vom 26. März 2019 (</w:t>
            </w:r>
            <w:proofErr w:type="spellStart"/>
            <w:r w:rsidRPr="000F3306">
              <w:rPr>
                <w:rFonts w:ascii="Arial" w:eastAsia="Times New Roman" w:hAnsi="Arial" w:cs="Arial"/>
                <w:color w:val="333333"/>
                <w:sz w:val="19"/>
                <w:szCs w:val="19"/>
                <w:lang w:val="de-DE" w:eastAsia="cs-CZ"/>
              </w:rPr>
              <w:t>GVBl</w:t>
            </w:r>
            <w:proofErr w:type="spellEnd"/>
            <w:r w:rsidRPr="000F3306">
              <w:rPr>
                <w:rFonts w:ascii="Arial" w:eastAsia="Times New Roman" w:hAnsi="Arial" w:cs="Arial"/>
                <w:color w:val="333333"/>
                <w:sz w:val="19"/>
                <w:szCs w:val="19"/>
                <w:lang w:val="de-DE" w:eastAsia="cs-CZ"/>
              </w:rPr>
              <w:t>. S. 98) geändert worden ist</w:t>
            </w:r>
          </w:p>
          <w:p w:rsidR="000F3306" w:rsidRPr="000F3306" w:rsidRDefault="000F3306" w:rsidP="000F3306">
            <w:pPr>
              <w:suppressAutoHyphens w:val="0"/>
              <w:spacing w:line="317" w:lineRule="atLeast"/>
              <w:outlineLvl w:val="1"/>
              <w:rPr>
                <w:rFonts w:ascii="Arial" w:eastAsia="Times New Roman" w:hAnsi="Arial" w:cs="Arial"/>
                <w:b/>
                <w:bCs/>
                <w:color w:val="333333"/>
                <w:sz w:val="21"/>
                <w:szCs w:val="21"/>
                <w:lang w:val="de-DE" w:eastAsia="cs-CZ"/>
              </w:rPr>
            </w:pPr>
            <w:r w:rsidRPr="000F3306">
              <w:rPr>
                <w:rFonts w:ascii="Arial" w:eastAsia="Times New Roman" w:hAnsi="Arial" w:cs="Arial"/>
                <w:b/>
                <w:bCs/>
                <w:color w:val="333333"/>
                <w:sz w:val="21"/>
                <w:szCs w:val="21"/>
                <w:lang w:val="de-DE" w:eastAsia="cs-CZ"/>
              </w:rPr>
              <w:t>Erster Teil Grundlagen</w:t>
            </w:r>
          </w:p>
          <w:p w:rsidR="000F3306" w:rsidRPr="000F3306" w:rsidRDefault="000F3306" w:rsidP="000F3306">
            <w:pPr>
              <w:suppressAutoHyphens w:val="0"/>
              <w:rPr>
                <w:rFonts w:ascii="Arial" w:eastAsia="Times New Roman" w:hAnsi="Arial" w:cs="Arial"/>
                <w:b/>
                <w:bCs/>
                <w:color w:val="333333"/>
                <w:sz w:val="21"/>
                <w:szCs w:val="21"/>
                <w:lang w:val="de-DE" w:eastAsia="cs-CZ"/>
              </w:rPr>
            </w:pPr>
            <w:r w:rsidRPr="000F3306">
              <w:rPr>
                <w:rFonts w:ascii="Arial" w:eastAsia="Times New Roman" w:hAnsi="Arial" w:cs="Arial"/>
                <w:b/>
                <w:bCs/>
                <w:color w:val="333333"/>
                <w:sz w:val="21"/>
                <w:szCs w:val="21"/>
                <w:lang w:val="de-DE" w:eastAsia="cs-CZ"/>
              </w:rPr>
              <w:t>Art. 1</w:t>
            </w:r>
          </w:p>
          <w:p w:rsidR="000F3306" w:rsidRPr="000F3306" w:rsidRDefault="000F3306" w:rsidP="000F3306">
            <w:pPr>
              <w:suppressAutoHyphens w:val="0"/>
              <w:rPr>
                <w:rFonts w:ascii="Arial" w:eastAsia="Times New Roman" w:hAnsi="Arial" w:cs="Arial"/>
                <w:b/>
                <w:bCs/>
                <w:color w:val="333333"/>
                <w:sz w:val="21"/>
                <w:szCs w:val="21"/>
                <w:lang w:val="de-DE" w:eastAsia="cs-CZ"/>
              </w:rPr>
            </w:pPr>
            <w:r w:rsidRPr="000F3306">
              <w:rPr>
                <w:rFonts w:ascii="Arial" w:eastAsia="Times New Roman" w:hAnsi="Arial" w:cs="Arial"/>
                <w:b/>
                <w:bCs/>
                <w:color w:val="333333"/>
                <w:sz w:val="21"/>
                <w:szCs w:val="21"/>
                <w:lang w:val="de-DE" w:eastAsia="cs-CZ"/>
              </w:rPr>
              <w:t>Bildungs- und Erziehungsauftrag</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 xml:space="preserve">(1) </w:t>
            </w:r>
            <w:r w:rsidRPr="000F3306">
              <w:rPr>
                <w:rFonts w:ascii="Arial" w:eastAsia="Times New Roman" w:hAnsi="Arial" w:cs="Arial"/>
                <w:color w:val="333333"/>
                <w:sz w:val="12"/>
                <w:szCs w:val="12"/>
                <w:vertAlign w:val="superscript"/>
                <w:lang w:val="de-DE" w:eastAsia="cs-CZ"/>
              </w:rPr>
              <w:t>1</w:t>
            </w:r>
            <w:r w:rsidRPr="000F3306">
              <w:rPr>
                <w:rFonts w:ascii="Arial" w:eastAsia="Times New Roman" w:hAnsi="Arial" w:cs="Arial"/>
                <w:color w:val="333333"/>
                <w:sz w:val="19"/>
                <w:szCs w:val="19"/>
                <w:lang w:val="de-DE" w:eastAsia="cs-CZ"/>
              </w:rPr>
              <w:t xml:space="preserve">Die Schulen haben den in der Verfassung verankerten Bildungs- und Erziehungsauftrag zu verwirklichen. </w:t>
            </w:r>
            <w:r w:rsidRPr="000F3306">
              <w:rPr>
                <w:rFonts w:ascii="Arial" w:eastAsia="Times New Roman" w:hAnsi="Arial" w:cs="Arial"/>
                <w:color w:val="333333"/>
                <w:sz w:val="12"/>
                <w:szCs w:val="12"/>
                <w:vertAlign w:val="superscript"/>
                <w:lang w:val="de-DE" w:eastAsia="cs-CZ"/>
              </w:rPr>
              <w:t>2</w:t>
            </w:r>
            <w:r w:rsidRPr="000F3306">
              <w:rPr>
                <w:rFonts w:ascii="Arial" w:eastAsia="Times New Roman" w:hAnsi="Arial" w:cs="Arial"/>
                <w:color w:val="333333"/>
                <w:sz w:val="19"/>
                <w:szCs w:val="19"/>
                <w:lang w:val="de-DE" w:eastAsia="cs-CZ"/>
              </w:rPr>
              <w:t xml:space="preserve">Sie sollen Wissen und Können vermitteln sowie Geist und Körper, Herz und Charakter bilden. </w:t>
            </w:r>
            <w:r w:rsidRPr="000F3306">
              <w:rPr>
                <w:rFonts w:ascii="Arial" w:eastAsia="Times New Roman" w:hAnsi="Arial" w:cs="Arial"/>
                <w:color w:val="333333"/>
                <w:sz w:val="12"/>
                <w:szCs w:val="12"/>
                <w:vertAlign w:val="superscript"/>
                <w:lang w:val="de-DE" w:eastAsia="cs-CZ"/>
              </w:rPr>
              <w:t>3</w:t>
            </w:r>
            <w:r w:rsidRPr="000F3306">
              <w:rPr>
                <w:rFonts w:ascii="Arial" w:eastAsia="Times New Roman" w:hAnsi="Arial" w:cs="Arial"/>
                <w:color w:val="333333"/>
                <w:sz w:val="19"/>
                <w:szCs w:val="19"/>
                <w:lang w:val="de-DE" w:eastAsia="cs-CZ"/>
              </w:rPr>
              <w:t xml:space="preserve">Oberste Bildungsziele sind Ehrfurcht vor Gott, Achtung vor religiöser Überzeugung, vor der Würde des Menschen und vor der Gleichberechtigung von Männern und Frauen, Selbstbeherrschung, Verantwortungsgefühl und Verantwortungsfreudigkeit, Hilfsbereitschaft, Aufgeschlossenheit für alles Wahre, Gute und Schöne und Verantwortungsbewusstsein für Natur und Umwelt. </w:t>
            </w:r>
            <w:r w:rsidRPr="000F3306">
              <w:rPr>
                <w:rFonts w:ascii="Arial" w:eastAsia="Times New Roman" w:hAnsi="Arial" w:cs="Arial"/>
                <w:color w:val="333333"/>
                <w:sz w:val="12"/>
                <w:szCs w:val="12"/>
                <w:vertAlign w:val="superscript"/>
                <w:lang w:val="de-DE" w:eastAsia="cs-CZ"/>
              </w:rPr>
              <w:t>4</w:t>
            </w:r>
            <w:r w:rsidRPr="000F3306">
              <w:rPr>
                <w:rFonts w:ascii="Arial" w:eastAsia="Times New Roman" w:hAnsi="Arial" w:cs="Arial"/>
                <w:color w:val="333333"/>
                <w:sz w:val="19"/>
                <w:szCs w:val="19"/>
                <w:lang w:val="de-DE" w:eastAsia="cs-CZ"/>
              </w:rPr>
              <w:t>Die Schülerinnen und Schüler sind im Geist der Demokratie, in der Liebe zur bayerischen Heimat und zum deutschen Volk und im Sinn der Völkerversöhnung zu erziehen.</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(2) Bei der Erfüllung ihres Auftrags haben die Schulen das verfassungsmäßige Recht der Eltern auf Erziehung ihrer Kinder zu achten.</w:t>
            </w:r>
          </w:p>
          <w:p w:rsidR="000F3306" w:rsidRPr="000F3306" w:rsidRDefault="000F3306" w:rsidP="000F3306">
            <w:pPr>
              <w:suppressAutoHyphens w:val="0"/>
              <w:rPr>
                <w:rFonts w:ascii="Arial" w:eastAsia="Times New Roman" w:hAnsi="Arial" w:cs="Arial"/>
                <w:b/>
                <w:bCs/>
                <w:color w:val="333333"/>
                <w:sz w:val="21"/>
                <w:szCs w:val="21"/>
                <w:lang w:val="de-DE" w:eastAsia="cs-CZ"/>
              </w:rPr>
            </w:pPr>
            <w:r w:rsidRPr="000F3306">
              <w:rPr>
                <w:rFonts w:ascii="Arial" w:eastAsia="Times New Roman" w:hAnsi="Arial" w:cs="Arial"/>
                <w:b/>
                <w:bCs/>
                <w:color w:val="333333"/>
                <w:sz w:val="21"/>
                <w:szCs w:val="21"/>
                <w:lang w:val="de-DE" w:eastAsia="cs-CZ"/>
              </w:rPr>
              <w:t>Art. 2</w:t>
            </w:r>
          </w:p>
          <w:p w:rsidR="000F3306" w:rsidRPr="000F3306" w:rsidRDefault="000F3306" w:rsidP="000F3306">
            <w:pPr>
              <w:suppressAutoHyphens w:val="0"/>
              <w:rPr>
                <w:rFonts w:ascii="Arial" w:eastAsia="Times New Roman" w:hAnsi="Arial" w:cs="Arial"/>
                <w:b/>
                <w:bCs/>
                <w:color w:val="333333"/>
                <w:sz w:val="21"/>
                <w:szCs w:val="21"/>
                <w:lang w:val="de-DE" w:eastAsia="cs-CZ"/>
              </w:rPr>
            </w:pPr>
            <w:r w:rsidRPr="000F3306">
              <w:rPr>
                <w:rFonts w:ascii="Arial" w:eastAsia="Times New Roman" w:hAnsi="Arial" w:cs="Arial"/>
                <w:b/>
                <w:bCs/>
                <w:color w:val="333333"/>
                <w:sz w:val="21"/>
                <w:szCs w:val="21"/>
                <w:lang w:val="de-DE" w:eastAsia="cs-CZ"/>
              </w:rPr>
              <w:t>Aufgaben der Schulen</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(1) Die Schulen haben insbesondere die Aufgabe,</w:t>
            </w:r>
          </w:p>
          <w:p w:rsidR="000F3306" w:rsidRPr="000F3306" w:rsidRDefault="000F3306" w:rsidP="000F3306">
            <w:pPr>
              <w:suppressAutoHyphens w:val="0"/>
              <w:spacing w:line="274" w:lineRule="atLeast"/>
              <w:ind w:left="720"/>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Kenntnisse und Fertigkeiten zu vermitteln und Fähigkeiten zu entwickeln,</w:t>
            </w:r>
          </w:p>
          <w:p w:rsidR="000F3306" w:rsidRPr="000F3306" w:rsidRDefault="000F3306" w:rsidP="000F3306">
            <w:pPr>
              <w:suppressAutoHyphens w:val="0"/>
              <w:spacing w:line="274" w:lineRule="atLeast"/>
              <w:ind w:left="720"/>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zu selbständigem Urteil und eigenverantwortlichem Handeln zu befähigen,</w:t>
            </w:r>
          </w:p>
          <w:p w:rsidR="000F3306" w:rsidRPr="000F3306" w:rsidRDefault="000F3306" w:rsidP="000F3306">
            <w:pPr>
              <w:suppressAutoHyphens w:val="0"/>
              <w:spacing w:line="274" w:lineRule="atLeast"/>
              <w:ind w:left="720"/>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zu verantwortlichem Gebrauch der Freiheit, zu Toleranz, friedlicher Gesinnung und Achtung vor anderen Menschen zu erziehen, zur Anerkennung kultureller und religiöser Werte zu erziehen,</w:t>
            </w:r>
          </w:p>
          <w:p w:rsidR="000F3306" w:rsidRPr="000F3306" w:rsidRDefault="000F3306" w:rsidP="000F3306">
            <w:pPr>
              <w:suppressAutoHyphens w:val="0"/>
              <w:spacing w:line="274" w:lineRule="atLeast"/>
              <w:ind w:left="720"/>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Kenntnisse von Geschichte, Kultur, Tradition und Brauchtum unter besonderer Berücksichtigung Bayerns zu vermitteln und die Liebe zur Heimat zu wecken,</w:t>
            </w:r>
          </w:p>
          <w:p w:rsidR="000F3306" w:rsidRPr="000F3306" w:rsidRDefault="000F3306" w:rsidP="000F3306">
            <w:pPr>
              <w:suppressAutoHyphens w:val="0"/>
              <w:spacing w:line="274" w:lineRule="atLeast"/>
              <w:ind w:left="720"/>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zur Förderung des europäischen Bewusstseins beizutragen,</w:t>
            </w:r>
          </w:p>
          <w:p w:rsidR="000F3306" w:rsidRPr="000F3306" w:rsidRDefault="000F3306" w:rsidP="000F3306">
            <w:pPr>
              <w:suppressAutoHyphens w:val="0"/>
              <w:spacing w:line="274" w:lineRule="atLeast"/>
              <w:ind w:left="720"/>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im Geist der Völkerverständigung zu erziehen und die Integrationsbemühungen von Migrantinnen und Migranten sowie die interkulturelle Kompetenz aller Schülerinnen und Schüler zu unterstützen,</w:t>
            </w:r>
          </w:p>
          <w:p w:rsidR="000F3306" w:rsidRPr="000F3306" w:rsidRDefault="000F3306" w:rsidP="000F3306">
            <w:pPr>
              <w:suppressAutoHyphens w:val="0"/>
              <w:spacing w:line="274" w:lineRule="atLeast"/>
              <w:ind w:left="720"/>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die Bereitschaft zum Einsatz für den freiheitlich-demokratischen und sozialen Rechtsstaat und zu seiner Verteidigung nach innen und außen zu fördern,</w:t>
            </w:r>
          </w:p>
          <w:p w:rsidR="000F3306" w:rsidRPr="000F3306" w:rsidRDefault="000F3306" w:rsidP="000F3306">
            <w:pPr>
              <w:suppressAutoHyphens w:val="0"/>
              <w:spacing w:line="274" w:lineRule="atLeast"/>
              <w:ind w:left="720"/>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die Durchsetzung der Gleichberechtigung von Frauen und Männern zu fördern und auf die Beseitigung bestehender Nachteile hinzuwirken,</w:t>
            </w:r>
          </w:p>
          <w:p w:rsidR="000F3306" w:rsidRPr="000F3306" w:rsidRDefault="000F3306" w:rsidP="000F3306">
            <w:pPr>
              <w:suppressAutoHyphens w:val="0"/>
              <w:spacing w:line="274" w:lineRule="atLeast"/>
              <w:ind w:left="720"/>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die Schülerinnen und Schüler zur gleichberechtigten Wahrnehmung ihrer Rechte und Pflichten in Familie, Staat und Gesellschaft zu befähigen, insbesondere Buben und junge Männer zu ermutigen, ihre künftige Vaterrolle verantwortlich anzunehmen sowie Familien- und Hausarbeit partnerschaftlich zu teilen,</w:t>
            </w:r>
          </w:p>
          <w:p w:rsidR="000F3306" w:rsidRPr="000F3306" w:rsidRDefault="000F3306" w:rsidP="000F3306">
            <w:pPr>
              <w:suppressAutoHyphens w:val="0"/>
              <w:spacing w:line="274" w:lineRule="atLeast"/>
              <w:ind w:left="720"/>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auf Arbeitswelt und Beruf vorzubereiten, in der Berufswahl zu unterstützen und dabei insbesondere Mädchen und Frauen zu ermutigen, ihr Berufsspektrum zu erweitern,</w:t>
            </w:r>
          </w:p>
          <w:p w:rsidR="000F3306" w:rsidRPr="000F3306" w:rsidRDefault="000F3306" w:rsidP="000F3306">
            <w:pPr>
              <w:suppressAutoHyphens w:val="0"/>
              <w:spacing w:line="274" w:lineRule="atLeast"/>
              <w:ind w:left="720"/>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Verantwortungsbewusstsein für die Umwelt zu wecken.</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(2) Inklusiver Unterricht ist Aufgabe aller Schulen.</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(3) Die Schulen erschließen den Schülerinnen und Schülern das überlieferte und bewährte Bildungsgut und machen sie mit Neuem vertraut.</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lastRenderedPageBreak/>
              <w:t xml:space="preserve">(4) </w:t>
            </w:r>
            <w:r w:rsidRPr="000F3306">
              <w:rPr>
                <w:rFonts w:ascii="Arial" w:eastAsia="Times New Roman" w:hAnsi="Arial" w:cs="Arial"/>
                <w:color w:val="333333"/>
                <w:sz w:val="12"/>
                <w:szCs w:val="12"/>
                <w:vertAlign w:val="superscript"/>
                <w:lang w:val="de-DE" w:eastAsia="cs-CZ"/>
              </w:rPr>
              <w:t>1</w:t>
            </w:r>
            <w:r w:rsidRPr="000F3306">
              <w:rPr>
                <w:rFonts w:ascii="Arial" w:eastAsia="Times New Roman" w:hAnsi="Arial" w:cs="Arial"/>
                <w:color w:val="333333"/>
                <w:sz w:val="19"/>
                <w:szCs w:val="19"/>
                <w:lang w:val="de-DE" w:eastAsia="cs-CZ"/>
              </w:rPr>
              <w:t xml:space="preserve">Die Schulleiterin oder der Schulleiter, die Lehrkräfte, die Schülerinnen und Schüler und ihre Erziehungsberechtigten (Schulgemeinschaft) arbeiten vertrauensvoll zusammen und pflegen eine Kultur der offenen Kommunikation. </w:t>
            </w:r>
            <w:r w:rsidRPr="000F3306">
              <w:rPr>
                <w:rFonts w:ascii="Arial" w:eastAsia="Times New Roman" w:hAnsi="Arial" w:cs="Arial"/>
                <w:color w:val="333333"/>
                <w:sz w:val="12"/>
                <w:szCs w:val="12"/>
                <w:vertAlign w:val="superscript"/>
                <w:lang w:val="de-DE" w:eastAsia="cs-CZ"/>
              </w:rPr>
              <w:t>2</w:t>
            </w:r>
            <w:r w:rsidRPr="000F3306">
              <w:rPr>
                <w:rFonts w:ascii="Arial" w:eastAsia="Times New Roman" w:hAnsi="Arial" w:cs="Arial"/>
                <w:color w:val="333333"/>
                <w:sz w:val="19"/>
                <w:szCs w:val="19"/>
                <w:lang w:val="de-DE" w:eastAsia="cs-CZ"/>
              </w:rPr>
              <w:t>Mit dem Ziel der Qualitätssicherung und -entwicklung gestaltet die Schule den Unterricht, die Erzieh</w:t>
            </w:r>
            <w:bookmarkStart w:id="0" w:name="_GoBack"/>
            <w:bookmarkEnd w:id="0"/>
            <w:r w:rsidRPr="000F3306">
              <w:rPr>
                <w:rFonts w:ascii="Arial" w:eastAsia="Times New Roman" w:hAnsi="Arial" w:cs="Arial"/>
                <w:color w:val="333333"/>
                <w:sz w:val="19"/>
                <w:szCs w:val="19"/>
                <w:lang w:val="de-DE" w:eastAsia="cs-CZ"/>
              </w:rPr>
              <w:t xml:space="preserve">ung und das Schulleben sowie die Leitung, Organisation und Verwaltung im Rahmen des verfassungsrechtlichen Bildungsauftrags und der Rechts- und Verwaltungsvorschriften in eigener Verantwortung (eigenverantwortliche Schule). </w:t>
            </w:r>
            <w:r w:rsidRPr="000F3306">
              <w:rPr>
                <w:rFonts w:ascii="Arial" w:eastAsia="Times New Roman" w:hAnsi="Arial" w:cs="Arial"/>
                <w:color w:val="333333"/>
                <w:sz w:val="12"/>
                <w:szCs w:val="12"/>
                <w:vertAlign w:val="superscript"/>
                <w:lang w:val="de-DE" w:eastAsia="cs-CZ"/>
              </w:rPr>
              <w:t>3</w:t>
            </w:r>
            <w:r w:rsidRPr="000F3306">
              <w:rPr>
                <w:rFonts w:ascii="Arial" w:eastAsia="Times New Roman" w:hAnsi="Arial" w:cs="Arial"/>
                <w:color w:val="333333"/>
                <w:sz w:val="19"/>
                <w:szCs w:val="19"/>
                <w:lang w:val="de-DE" w:eastAsia="cs-CZ"/>
              </w:rPr>
              <w:t xml:space="preserve">Dabei ist die Schulgemeinschaft bestrebt, das Lernklima und das Schulleben positiv und transparent zu gestalten und Meinungsverschiedenheiten in der Zuständigkeit der in der Schulgemeinschaft Verantwortlichen zu lösen. </w:t>
            </w:r>
            <w:r w:rsidRPr="000F3306">
              <w:rPr>
                <w:rFonts w:ascii="Arial" w:eastAsia="Times New Roman" w:hAnsi="Arial" w:cs="Arial"/>
                <w:color w:val="333333"/>
                <w:sz w:val="12"/>
                <w:szCs w:val="12"/>
                <w:vertAlign w:val="superscript"/>
                <w:lang w:val="de-DE" w:eastAsia="cs-CZ"/>
              </w:rPr>
              <w:t>4</w:t>
            </w:r>
            <w:r w:rsidRPr="000F3306">
              <w:rPr>
                <w:rFonts w:ascii="Arial" w:eastAsia="Times New Roman" w:hAnsi="Arial" w:cs="Arial"/>
                <w:color w:val="333333"/>
                <w:sz w:val="19"/>
                <w:szCs w:val="19"/>
                <w:lang w:val="de-DE" w:eastAsia="cs-CZ"/>
              </w:rPr>
              <w:t>In einem Schulentwicklungsprogramm bündelt die Schule die kurz- und mittelfristigen Entwicklungsziele und Maßnahmen der Schulgemeinschaft unter Berücksichtigung der Zielvereinbarungen gemäß Art. 111 Abs. 1 Satz 1 Nr. 2 und Art. 113c Abs. 4; dieses überprüft sie regelmäßig und aktualisiert es, soweit erforderlich.</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 xml:space="preserve">(5) </w:t>
            </w:r>
            <w:r w:rsidRPr="000F3306">
              <w:rPr>
                <w:rFonts w:ascii="Arial" w:eastAsia="Times New Roman" w:hAnsi="Arial" w:cs="Arial"/>
                <w:color w:val="333333"/>
                <w:sz w:val="12"/>
                <w:szCs w:val="12"/>
                <w:vertAlign w:val="superscript"/>
                <w:lang w:val="de-DE" w:eastAsia="cs-CZ"/>
              </w:rPr>
              <w:t>1</w:t>
            </w:r>
            <w:r w:rsidRPr="000F3306">
              <w:rPr>
                <w:rFonts w:ascii="Arial" w:eastAsia="Times New Roman" w:hAnsi="Arial" w:cs="Arial"/>
                <w:color w:val="333333"/>
                <w:sz w:val="19"/>
                <w:szCs w:val="19"/>
                <w:lang w:val="de-DE" w:eastAsia="cs-CZ"/>
              </w:rPr>
              <w:t xml:space="preserve">Die Öffnung der Schule gegenüber ihrem Umfeld ist zu fördern. </w:t>
            </w:r>
            <w:r w:rsidRPr="000F3306">
              <w:rPr>
                <w:rFonts w:ascii="Arial" w:eastAsia="Times New Roman" w:hAnsi="Arial" w:cs="Arial"/>
                <w:color w:val="333333"/>
                <w:sz w:val="12"/>
                <w:szCs w:val="12"/>
                <w:vertAlign w:val="superscript"/>
                <w:lang w:val="de-DE" w:eastAsia="cs-CZ"/>
              </w:rPr>
              <w:t>2</w:t>
            </w:r>
            <w:r w:rsidRPr="000F3306">
              <w:rPr>
                <w:rFonts w:ascii="Arial" w:eastAsia="Times New Roman" w:hAnsi="Arial" w:cs="Arial"/>
                <w:color w:val="333333"/>
                <w:sz w:val="19"/>
                <w:szCs w:val="19"/>
                <w:lang w:val="de-DE" w:eastAsia="cs-CZ"/>
              </w:rPr>
              <w:t>Die Öffnung erfolgt durch die Zusammenarbeit der Schulen mit außerschulischen Einrichtungen, insbesondere mit Betrieben, Sport- und anderen Vereinen, Kunst- und Musikschulen, freien Trägern der Jugendhilfe, kommunalen und kirchlichen Einrichtungen sowie mit Einrichtungen der Weiterbildung.</w:t>
            </w:r>
          </w:p>
          <w:p w:rsidR="000F3306" w:rsidRPr="000F3306" w:rsidRDefault="000F3306" w:rsidP="000F3306">
            <w:pPr>
              <w:suppressAutoHyphens w:val="0"/>
              <w:rPr>
                <w:rFonts w:ascii="Arial" w:eastAsia="Times New Roman" w:hAnsi="Arial" w:cs="Arial"/>
                <w:b/>
                <w:bCs/>
                <w:color w:val="333333"/>
                <w:sz w:val="21"/>
                <w:szCs w:val="21"/>
                <w:lang w:val="de-DE" w:eastAsia="cs-CZ"/>
              </w:rPr>
            </w:pPr>
            <w:r w:rsidRPr="000F3306">
              <w:rPr>
                <w:rFonts w:ascii="Arial" w:eastAsia="Times New Roman" w:hAnsi="Arial" w:cs="Arial"/>
                <w:b/>
                <w:bCs/>
                <w:color w:val="333333"/>
                <w:sz w:val="21"/>
                <w:szCs w:val="21"/>
                <w:lang w:val="de-DE" w:eastAsia="cs-CZ"/>
              </w:rPr>
              <w:t>Art. 3</w:t>
            </w:r>
          </w:p>
          <w:p w:rsidR="000F3306" w:rsidRPr="000F3306" w:rsidRDefault="000F3306" w:rsidP="000F3306">
            <w:pPr>
              <w:suppressAutoHyphens w:val="0"/>
              <w:rPr>
                <w:rFonts w:ascii="Arial" w:eastAsia="Times New Roman" w:hAnsi="Arial" w:cs="Arial"/>
                <w:b/>
                <w:bCs/>
                <w:color w:val="333333"/>
                <w:sz w:val="21"/>
                <w:szCs w:val="21"/>
                <w:lang w:val="de-DE" w:eastAsia="cs-CZ"/>
              </w:rPr>
            </w:pPr>
            <w:r w:rsidRPr="000F3306">
              <w:rPr>
                <w:rFonts w:ascii="Arial" w:eastAsia="Times New Roman" w:hAnsi="Arial" w:cs="Arial"/>
                <w:b/>
                <w:bCs/>
                <w:color w:val="333333"/>
                <w:sz w:val="21"/>
                <w:szCs w:val="21"/>
                <w:lang w:val="de-DE" w:eastAsia="cs-CZ"/>
              </w:rPr>
              <w:t>Öffentliche und private Unterrichtseinrichtungen</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 xml:space="preserve">(1) </w:t>
            </w:r>
            <w:r w:rsidRPr="000F3306">
              <w:rPr>
                <w:rFonts w:ascii="Arial" w:eastAsia="Times New Roman" w:hAnsi="Arial" w:cs="Arial"/>
                <w:color w:val="333333"/>
                <w:sz w:val="12"/>
                <w:szCs w:val="12"/>
                <w:vertAlign w:val="superscript"/>
                <w:lang w:val="de-DE" w:eastAsia="cs-CZ"/>
              </w:rPr>
              <w:t>1</w:t>
            </w:r>
            <w:r w:rsidRPr="000F3306">
              <w:rPr>
                <w:rFonts w:ascii="Arial" w:eastAsia="Times New Roman" w:hAnsi="Arial" w:cs="Arial"/>
                <w:color w:val="333333"/>
                <w:sz w:val="19"/>
                <w:szCs w:val="19"/>
                <w:lang w:val="de-DE" w:eastAsia="cs-CZ"/>
              </w:rPr>
              <w:t xml:space="preserve">Öffentliche Schulen sind staatliche oder kommunale Schulen. </w:t>
            </w:r>
            <w:r w:rsidRPr="000F3306">
              <w:rPr>
                <w:rFonts w:ascii="Arial" w:eastAsia="Times New Roman" w:hAnsi="Arial" w:cs="Arial"/>
                <w:color w:val="333333"/>
                <w:sz w:val="12"/>
                <w:szCs w:val="12"/>
                <w:vertAlign w:val="superscript"/>
                <w:lang w:val="de-DE" w:eastAsia="cs-CZ"/>
              </w:rPr>
              <w:t>2</w:t>
            </w:r>
            <w:r w:rsidRPr="000F3306">
              <w:rPr>
                <w:rFonts w:ascii="Arial" w:eastAsia="Times New Roman" w:hAnsi="Arial" w:cs="Arial"/>
                <w:color w:val="333333"/>
                <w:sz w:val="19"/>
                <w:szCs w:val="19"/>
                <w:lang w:val="de-DE" w:eastAsia="cs-CZ"/>
              </w:rPr>
              <w:t xml:space="preserve">Staatliche Schulen sind Schulen, bei denen der Dienstherr des Lehrpersonals der Freistaat Bayern ist. </w:t>
            </w:r>
            <w:r w:rsidRPr="000F3306">
              <w:rPr>
                <w:rFonts w:ascii="Arial" w:eastAsia="Times New Roman" w:hAnsi="Arial" w:cs="Arial"/>
                <w:color w:val="333333"/>
                <w:sz w:val="12"/>
                <w:szCs w:val="12"/>
                <w:vertAlign w:val="superscript"/>
                <w:lang w:val="de-DE" w:eastAsia="cs-CZ"/>
              </w:rPr>
              <w:t>3</w:t>
            </w:r>
            <w:r w:rsidRPr="000F3306">
              <w:rPr>
                <w:rFonts w:ascii="Arial" w:eastAsia="Times New Roman" w:hAnsi="Arial" w:cs="Arial"/>
                <w:color w:val="333333"/>
                <w:sz w:val="19"/>
                <w:szCs w:val="19"/>
                <w:lang w:val="de-DE" w:eastAsia="cs-CZ"/>
              </w:rPr>
              <w:t xml:space="preserve">Kommunale Schulen sind Schulen, bei denen der Dienstherr des Lehrpersonals eine bayerische kommunale Körperschaft (Gemeinde, Landkreis, Bezirk oder Zweckverband, ein Kommunalunternehmen oder ein gemeinsames Kommunalunternehmen) ist. </w:t>
            </w:r>
            <w:r w:rsidRPr="000F3306">
              <w:rPr>
                <w:rFonts w:ascii="Arial" w:eastAsia="Times New Roman" w:hAnsi="Arial" w:cs="Arial"/>
                <w:color w:val="333333"/>
                <w:sz w:val="12"/>
                <w:szCs w:val="12"/>
                <w:vertAlign w:val="superscript"/>
                <w:lang w:val="de-DE" w:eastAsia="cs-CZ"/>
              </w:rPr>
              <w:t>4</w:t>
            </w:r>
            <w:r w:rsidRPr="000F3306">
              <w:rPr>
                <w:rFonts w:ascii="Arial" w:eastAsia="Times New Roman" w:hAnsi="Arial" w:cs="Arial"/>
                <w:color w:val="333333"/>
                <w:sz w:val="19"/>
                <w:szCs w:val="19"/>
                <w:lang w:val="de-DE" w:eastAsia="cs-CZ"/>
              </w:rPr>
              <w:t>Öffentliche Schulen sind nichtrechtsfähige öffentliche Anstalten.</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 xml:space="preserve">(2) </w:t>
            </w:r>
            <w:r w:rsidRPr="000F3306">
              <w:rPr>
                <w:rFonts w:ascii="Arial" w:eastAsia="Times New Roman" w:hAnsi="Arial" w:cs="Arial"/>
                <w:color w:val="333333"/>
                <w:sz w:val="12"/>
                <w:szCs w:val="12"/>
                <w:vertAlign w:val="superscript"/>
                <w:lang w:val="de-DE" w:eastAsia="cs-CZ"/>
              </w:rPr>
              <w:t>1</w:t>
            </w:r>
            <w:r w:rsidRPr="000F3306">
              <w:rPr>
                <w:rFonts w:ascii="Arial" w:eastAsia="Times New Roman" w:hAnsi="Arial" w:cs="Arial"/>
                <w:color w:val="333333"/>
                <w:sz w:val="19"/>
                <w:szCs w:val="19"/>
                <w:lang w:val="de-DE" w:eastAsia="cs-CZ"/>
              </w:rPr>
              <w:t xml:space="preserve">Private Schulen (Schulen in freier Trägerschaft) sind alle Schulen, die nicht öffentliche Schulen im Sinn des Absatzes 1 sind. </w:t>
            </w:r>
            <w:r w:rsidRPr="000F3306">
              <w:rPr>
                <w:rFonts w:ascii="Arial" w:eastAsia="Times New Roman" w:hAnsi="Arial" w:cs="Arial"/>
                <w:color w:val="333333"/>
                <w:sz w:val="12"/>
                <w:szCs w:val="12"/>
                <w:vertAlign w:val="superscript"/>
                <w:lang w:val="de-DE" w:eastAsia="cs-CZ"/>
              </w:rPr>
              <w:t>2</w:t>
            </w:r>
            <w:r w:rsidRPr="000F3306">
              <w:rPr>
                <w:rFonts w:ascii="Arial" w:eastAsia="Times New Roman" w:hAnsi="Arial" w:cs="Arial"/>
                <w:color w:val="333333"/>
                <w:sz w:val="19"/>
                <w:szCs w:val="19"/>
                <w:lang w:val="de-DE" w:eastAsia="cs-CZ"/>
              </w:rPr>
              <w:t>Sie müssen eine Bezeichnung führen, die eine Verwechslung mit öffentlichen Schulen ausschließt.</w:t>
            </w:r>
          </w:p>
          <w:p w:rsidR="000F3306" w:rsidRPr="000F3306" w:rsidRDefault="000F3306" w:rsidP="000F3306">
            <w:pPr>
              <w:suppressAutoHyphens w:val="0"/>
              <w:rPr>
                <w:rFonts w:ascii="Arial" w:eastAsia="Times New Roman" w:hAnsi="Arial" w:cs="Arial"/>
                <w:b/>
                <w:bCs/>
                <w:color w:val="333333"/>
                <w:sz w:val="21"/>
                <w:szCs w:val="21"/>
                <w:lang w:val="de-DE" w:eastAsia="cs-CZ"/>
              </w:rPr>
            </w:pPr>
            <w:r w:rsidRPr="000F3306">
              <w:rPr>
                <w:rFonts w:ascii="Arial" w:eastAsia="Times New Roman" w:hAnsi="Arial" w:cs="Arial"/>
                <w:b/>
                <w:bCs/>
                <w:color w:val="333333"/>
                <w:sz w:val="21"/>
                <w:szCs w:val="21"/>
                <w:lang w:val="de-DE" w:eastAsia="cs-CZ"/>
              </w:rPr>
              <w:t>Art. 4</w:t>
            </w:r>
          </w:p>
          <w:p w:rsidR="000F3306" w:rsidRPr="000F3306" w:rsidRDefault="000F3306" w:rsidP="000F3306">
            <w:pPr>
              <w:suppressAutoHyphens w:val="0"/>
              <w:rPr>
                <w:rFonts w:ascii="Arial" w:eastAsia="Times New Roman" w:hAnsi="Arial" w:cs="Arial"/>
                <w:b/>
                <w:bCs/>
                <w:color w:val="333333"/>
                <w:sz w:val="21"/>
                <w:szCs w:val="21"/>
                <w:lang w:val="de-DE" w:eastAsia="cs-CZ"/>
              </w:rPr>
            </w:pPr>
            <w:r w:rsidRPr="000F3306">
              <w:rPr>
                <w:rFonts w:ascii="Arial" w:eastAsia="Times New Roman" w:hAnsi="Arial" w:cs="Arial"/>
                <w:b/>
                <w:bCs/>
                <w:color w:val="333333"/>
                <w:sz w:val="21"/>
                <w:szCs w:val="21"/>
                <w:lang w:val="de-DE" w:eastAsia="cs-CZ"/>
              </w:rPr>
              <w:t>Schulbauten</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(1) Die dem Unterricht dienenden Räume, Anlagen und sonstigen Einrichtungen müssen hinsichtlich Größe, baulicher Beschaffenheit und Ausstattung die Durchführung eines einwandfreien Schulbetriebs gewährleisten.</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 xml:space="preserve">(2) </w:t>
            </w:r>
            <w:r w:rsidRPr="000F3306">
              <w:rPr>
                <w:rFonts w:ascii="Arial" w:eastAsia="Times New Roman" w:hAnsi="Arial" w:cs="Arial"/>
                <w:color w:val="333333"/>
                <w:sz w:val="12"/>
                <w:szCs w:val="12"/>
                <w:vertAlign w:val="superscript"/>
                <w:lang w:val="de-DE" w:eastAsia="cs-CZ"/>
              </w:rPr>
              <w:t>1</w:t>
            </w:r>
            <w:r w:rsidRPr="000F3306">
              <w:rPr>
                <w:rFonts w:ascii="Arial" w:eastAsia="Times New Roman" w:hAnsi="Arial" w:cs="Arial"/>
                <w:color w:val="333333"/>
                <w:sz w:val="19"/>
                <w:szCs w:val="19"/>
                <w:lang w:val="de-DE" w:eastAsia="cs-CZ"/>
              </w:rPr>
              <w:t xml:space="preserve">Der Bau von öffentlichen Schulen und von privaten Ersatzschulen bedarf der </w:t>
            </w:r>
            <w:proofErr w:type="spellStart"/>
            <w:r w:rsidRPr="000F3306">
              <w:rPr>
                <w:rFonts w:ascii="Arial" w:eastAsia="Times New Roman" w:hAnsi="Arial" w:cs="Arial"/>
                <w:color w:val="333333"/>
                <w:sz w:val="19"/>
                <w:szCs w:val="19"/>
                <w:lang w:val="de-DE" w:eastAsia="cs-CZ"/>
              </w:rPr>
              <w:t>schulaufsichtlichen</w:t>
            </w:r>
            <w:proofErr w:type="spellEnd"/>
            <w:r w:rsidRPr="000F3306">
              <w:rPr>
                <w:rFonts w:ascii="Arial" w:eastAsia="Times New Roman" w:hAnsi="Arial" w:cs="Arial"/>
                <w:color w:val="333333"/>
                <w:sz w:val="19"/>
                <w:szCs w:val="19"/>
                <w:lang w:val="de-DE" w:eastAsia="cs-CZ"/>
              </w:rPr>
              <w:t xml:space="preserve"> Genehmigung; das Verfahren sowie die Mindestanforderungen hinsichtlich des Raumbedarfs regelt das Staatsministerium für Unterricht und Kultus (Staatsministerium) im Einvernehmen mit dem Staatsministerium der Finanzen und für Heimat durch Rechtsverordnung. </w:t>
            </w:r>
            <w:r w:rsidRPr="000F3306">
              <w:rPr>
                <w:rFonts w:ascii="Arial" w:eastAsia="Times New Roman" w:hAnsi="Arial" w:cs="Arial"/>
                <w:color w:val="333333"/>
                <w:sz w:val="12"/>
                <w:szCs w:val="12"/>
                <w:vertAlign w:val="superscript"/>
                <w:lang w:val="de-DE" w:eastAsia="cs-CZ"/>
              </w:rPr>
              <w:t>2</w:t>
            </w:r>
            <w:r w:rsidRPr="000F3306">
              <w:rPr>
                <w:rFonts w:ascii="Arial" w:eastAsia="Times New Roman" w:hAnsi="Arial" w:cs="Arial"/>
                <w:color w:val="333333"/>
                <w:sz w:val="19"/>
                <w:szCs w:val="19"/>
                <w:lang w:val="de-DE" w:eastAsia="cs-CZ"/>
              </w:rPr>
              <w:t>Bei Schulen, die nicht zum Geschäftsbereich des Staatsministeriums gehören, entscheidet das zuständige Ressort im Einvernehmen mit dem Staatsministerium der Finanzen und für Heimat.</w:t>
            </w:r>
          </w:p>
          <w:p w:rsidR="000F3306" w:rsidRPr="000F3306" w:rsidRDefault="000F3306" w:rsidP="000F3306">
            <w:pPr>
              <w:suppressAutoHyphens w:val="0"/>
              <w:rPr>
                <w:rFonts w:ascii="Arial" w:eastAsia="Times New Roman" w:hAnsi="Arial" w:cs="Arial"/>
                <w:b/>
                <w:bCs/>
                <w:color w:val="333333"/>
                <w:sz w:val="21"/>
                <w:szCs w:val="21"/>
                <w:lang w:val="de-DE" w:eastAsia="cs-CZ"/>
              </w:rPr>
            </w:pPr>
            <w:r w:rsidRPr="000F3306">
              <w:rPr>
                <w:rFonts w:ascii="Arial" w:eastAsia="Times New Roman" w:hAnsi="Arial" w:cs="Arial"/>
                <w:b/>
                <w:bCs/>
                <w:color w:val="333333"/>
                <w:sz w:val="21"/>
                <w:szCs w:val="21"/>
                <w:lang w:val="de-DE" w:eastAsia="cs-CZ"/>
              </w:rPr>
              <w:t>Art. 5</w:t>
            </w:r>
          </w:p>
          <w:p w:rsidR="000F3306" w:rsidRPr="000F3306" w:rsidRDefault="000F3306" w:rsidP="000F3306">
            <w:pPr>
              <w:suppressAutoHyphens w:val="0"/>
              <w:rPr>
                <w:rFonts w:ascii="Arial" w:eastAsia="Times New Roman" w:hAnsi="Arial" w:cs="Arial"/>
                <w:b/>
                <w:bCs/>
                <w:color w:val="333333"/>
                <w:sz w:val="21"/>
                <w:szCs w:val="21"/>
                <w:lang w:val="de-DE" w:eastAsia="cs-CZ"/>
              </w:rPr>
            </w:pPr>
            <w:r w:rsidRPr="000F3306">
              <w:rPr>
                <w:rFonts w:ascii="Arial" w:eastAsia="Times New Roman" w:hAnsi="Arial" w:cs="Arial"/>
                <w:b/>
                <w:bCs/>
                <w:color w:val="333333"/>
                <w:sz w:val="21"/>
                <w:szCs w:val="21"/>
                <w:lang w:val="de-DE" w:eastAsia="cs-CZ"/>
              </w:rPr>
              <w:t>Schuljahr und Ferien</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 xml:space="preserve">(1) </w:t>
            </w:r>
            <w:r w:rsidRPr="000F3306">
              <w:rPr>
                <w:rFonts w:ascii="Arial" w:eastAsia="Times New Roman" w:hAnsi="Arial" w:cs="Arial"/>
                <w:color w:val="333333"/>
                <w:sz w:val="12"/>
                <w:szCs w:val="12"/>
                <w:vertAlign w:val="superscript"/>
                <w:lang w:val="de-DE" w:eastAsia="cs-CZ"/>
              </w:rPr>
              <w:t>1</w:t>
            </w:r>
            <w:r w:rsidRPr="000F3306">
              <w:rPr>
                <w:rFonts w:ascii="Arial" w:eastAsia="Times New Roman" w:hAnsi="Arial" w:cs="Arial"/>
                <w:color w:val="333333"/>
                <w:sz w:val="19"/>
                <w:szCs w:val="19"/>
                <w:lang w:val="de-DE" w:eastAsia="cs-CZ"/>
              </w:rPr>
              <w:t xml:space="preserve">Das Schuljahr beginnt am 1. August und endet am 31. Juli des folgenden Kalenderjahres. </w:t>
            </w:r>
            <w:r w:rsidRPr="000F3306">
              <w:rPr>
                <w:rFonts w:ascii="Arial" w:eastAsia="Times New Roman" w:hAnsi="Arial" w:cs="Arial"/>
                <w:color w:val="333333"/>
                <w:sz w:val="12"/>
                <w:szCs w:val="12"/>
                <w:vertAlign w:val="superscript"/>
                <w:lang w:val="de-DE" w:eastAsia="cs-CZ"/>
              </w:rPr>
              <w:t>2</w:t>
            </w:r>
            <w:r w:rsidRPr="000F3306">
              <w:rPr>
                <w:rFonts w:ascii="Arial" w:eastAsia="Times New Roman" w:hAnsi="Arial" w:cs="Arial"/>
                <w:color w:val="333333"/>
                <w:sz w:val="19"/>
                <w:szCs w:val="19"/>
                <w:lang w:val="de-DE" w:eastAsia="cs-CZ"/>
              </w:rPr>
              <w:t>Für einzelne Schularten können in der Schulordnung aus besonderen Gründen davon abweichende Ausbildungsabschnitte vorgesehen werden.</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(2) Die Ferien werden durch die Ferienordnung festgesetzt, die das zuständige Staatsministerium erlässt.</w:t>
            </w:r>
          </w:p>
          <w:p w:rsidR="000F3306" w:rsidRPr="000F3306" w:rsidRDefault="000F3306" w:rsidP="000F3306">
            <w:pPr>
              <w:suppressAutoHyphens w:val="0"/>
              <w:spacing w:line="288" w:lineRule="atLeast"/>
              <w:rPr>
                <w:rFonts w:ascii="Arial" w:eastAsia="Times New Roman" w:hAnsi="Arial" w:cs="Arial"/>
                <w:color w:val="333333"/>
                <w:sz w:val="19"/>
                <w:szCs w:val="19"/>
                <w:lang w:val="de-DE" w:eastAsia="cs-CZ"/>
              </w:rPr>
            </w:pPr>
            <w:r w:rsidRPr="000F3306">
              <w:rPr>
                <w:rFonts w:ascii="Arial" w:eastAsia="Times New Roman" w:hAnsi="Arial" w:cs="Arial"/>
                <w:color w:val="333333"/>
                <w:sz w:val="19"/>
                <w:szCs w:val="19"/>
                <w:lang w:val="de-DE" w:eastAsia="cs-CZ"/>
              </w:rPr>
              <w:t>(3) Art. 5 gilt nicht für angezeigte Ergänzungsschulen und für private Berufsfachschulen nach Art. 92 Abs. 7, es sei denn, sie werden von Schülerinnen und Schülern besucht, die noch der Vollzeitschulpflicht unterliegen.</w:t>
            </w:r>
          </w:p>
          <w:p w:rsidR="000F3306" w:rsidRDefault="000F3306"/>
        </w:tc>
      </w:tr>
    </w:tbl>
    <w:p w:rsidR="003E4FA4" w:rsidRDefault="003E4FA4"/>
    <w:p w:rsidR="000F3306" w:rsidRDefault="000F3306"/>
    <w:p w:rsidR="000F3306" w:rsidRDefault="000F3306"/>
    <w:p w:rsidR="000F3306" w:rsidRPr="000F3306" w:rsidRDefault="000F3306">
      <w:pPr>
        <w:rPr>
          <w:sz w:val="26"/>
          <w:szCs w:val="26"/>
        </w:rPr>
      </w:pPr>
    </w:p>
    <w:p w:rsidR="000F3306" w:rsidRDefault="000F3306">
      <w:pPr>
        <w:rPr>
          <w:rFonts w:ascii="Bahnschrift" w:hAnsi="Bahnschrift"/>
          <w:sz w:val="26"/>
          <w:szCs w:val="26"/>
          <w:lang w:val="de-DE"/>
        </w:rPr>
      </w:pPr>
      <w:r w:rsidRPr="000F3306">
        <w:rPr>
          <w:rFonts w:ascii="Bahnschrift" w:hAnsi="Bahnschrift"/>
          <w:sz w:val="26"/>
          <w:szCs w:val="26"/>
          <w:lang w:val="de-DE"/>
        </w:rPr>
        <w:t>Aufgabe</w:t>
      </w:r>
      <w:r>
        <w:rPr>
          <w:rFonts w:ascii="Bahnschrift" w:hAnsi="Bahnschrift"/>
          <w:sz w:val="26"/>
          <w:szCs w:val="26"/>
          <w:lang w:val="de-DE"/>
        </w:rPr>
        <w:t xml:space="preserve">: </w:t>
      </w:r>
      <w:r>
        <w:rPr>
          <w:rFonts w:ascii="Bahnschrift" w:hAnsi="Bahnschrift"/>
          <w:sz w:val="26"/>
          <w:szCs w:val="26"/>
          <w:lang w:val="de-DE"/>
        </w:rPr>
        <w:tab/>
        <w:t xml:space="preserve">Analysieren Sie den vorliegenden Text. Als Hilfe verwenden Sie die </w:t>
      </w:r>
      <w:r>
        <w:rPr>
          <w:rFonts w:ascii="Bahnschrift" w:hAnsi="Bahnschrift"/>
          <w:sz w:val="26"/>
          <w:szCs w:val="26"/>
          <w:lang w:val="de-DE"/>
        </w:rPr>
        <w:tab/>
      </w:r>
      <w:r>
        <w:rPr>
          <w:rFonts w:ascii="Bahnschrift" w:hAnsi="Bahnschrift"/>
          <w:sz w:val="26"/>
          <w:szCs w:val="26"/>
          <w:lang w:val="de-DE"/>
        </w:rPr>
        <w:tab/>
        <w:t>folgende Struktur.</w:t>
      </w:r>
      <w:r w:rsidR="006A3777">
        <w:rPr>
          <w:rFonts w:ascii="Bahnschrift" w:hAnsi="Bahnschrift"/>
          <w:sz w:val="26"/>
          <w:szCs w:val="26"/>
          <w:lang w:val="de-DE"/>
        </w:rPr>
        <w:t xml:space="preserve"> Finden Sie im Text konkrete Beispiele.</w:t>
      </w:r>
    </w:p>
    <w:p w:rsidR="000F3306" w:rsidRDefault="000F3306">
      <w:pPr>
        <w:rPr>
          <w:rFonts w:ascii="Bahnschrift" w:hAnsi="Bahnschrift"/>
          <w:sz w:val="26"/>
          <w:szCs w:val="26"/>
          <w:lang w:val="de-DE"/>
        </w:rPr>
      </w:pPr>
      <w:r>
        <w:rPr>
          <w:rFonts w:ascii="Bahnschrift" w:hAnsi="Bahnschrift"/>
          <w:sz w:val="26"/>
          <w:szCs w:val="26"/>
          <w:lang w:val="de-DE"/>
        </w:rPr>
        <w:t xml:space="preserve">Struktur: </w:t>
      </w:r>
    </w:p>
    <w:p w:rsidR="000F3306" w:rsidRPr="000C2326" w:rsidRDefault="000F3306">
      <w:pPr>
        <w:rPr>
          <w:rFonts w:ascii="Bahnschrift" w:hAnsi="Bahnschrift"/>
          <w:sz w:val="14"/>
          <w:szCs w:val="14"/>
          <w:lang w:val="de-DE"/>
        </w:rPr>
      </w:pPr>
    </w:p>
    <w:p w:rsidR="000F3306" w:rsidRDefault="000F3306" w:rsidP="000F3306">
      <w:pPr>
        <w:pStyle w:val="Odstavecseseznamem"/>
        <w:numPr>
          <w:ilvl w:val="0"/>
          <w:numId w:val="1"/>
        </w:numPr>
        <w:rPr>
          <w:rFonts w:ascii="Bahnschrift" w:hAnsi="Bahnschrift"/>
          <w:sz w:val="26"/>
          <w:szCs w:val="26"/>
          <w:lang w:val="de-DE"/>
        </w:rPr>
      </w:pPr>
      <w:r>
        <w:rPr>
          <w:rFonts w:ascii="Bahnschrift" w:hAnsi="Bahnschrift"/>
          <w:sz w:val="26"/>
          <w:szCs w:val="26"/>
          <w:lang w:val="de-DE"/>
        </w:rPr>
        <w:t xml:space="preserve">Textsorte – Verwaltungstext (Institutionen, Abkürzungen wie </w:t>
      </w:r>
      <w:proofErr w:type="spellStart"/>
      <w:r>
        <w:rPr>
          <w:rFonts w:ascii="Bahnschrift" w:hAnsi="Bahnschrift"/>
          <w:sz w:val="26"/>
          <w:szCs w:val="26"/>
          <w:lang w:val="de-DE"/>
        </w:rPr>
        <w:t>BayEUG</w:t>
      </w:r>
      <w:proofErr w:type="spellEnd"/>
      <w:r>
        <w:rPr>
          <w:rFonts w:ascii="Bahnschrift" w:hAnsi="Bahnschrift"/>
          <w:sz w:val="26"/>
          <w:szCs w:val="26"/>
          <w:lang w:val="de-DE"/>
        </w:rPr>
        <w:t>)</w:t>
      </w:r>
    </w:p>
    <w:p w:rsidR="000F3306" w:rsidRDefault="000F3306" w:rsidP="000F3306">
      <w:pPr>
        <w:ind w:left="360"/>
        <w:rPr>
          <w:rFonts w:ascii="Bahnschrift" w:hAnsi="Bahnschrift"/>
          <w:sz w:val="26"/>
          <w:szCs w:val="26"/>
          <w:lang w:val="de-DE"/>
        </w:rPr>
      </w:pPr>
    </w:p>
    <w:p w:rsidR="000F3306" w:rsidRDefault="000F3306" w:rsidP="000F3306">
      <w:pPr>
        <w:pStyle w:val="Odstavecseseznamem"/>
        <w:numPr>
          <w:ilvl w:val="0"/>
          <w:numId w:val="1"/>
        </w:numPr>
        <w:rPr>
          <w:rFonts w:ascii="Bahnschrift" w:hAnsi="Bahnschrift"/>
          <w:sz w:val="26"/>
          <w:szCs w:val="26"/>
          <w:lang w:val="de-DE"/>
        </w:rPr>
      </w:pPr>
      <w:r>
        <w:rPr>
          <w:rFonts w:ascii="Bahnschrift" w:hAnsi="Bahnschrift"/>
          <w:sz w:val="26"/>
          <w:szCs w:val="26"/>
          <w:lang w:val="de-DE"/>
        </w:rPr>
        <w:t>Makrostruktur</w:t>
      </w:r>
      <w:r w:rsidRPr="000F3306">
        <w:rPr>
          <w:rFonts w:ascii="Bahnschrift" w:hAnsi="Bahnschrift"/>
          <w:sz w:val="26"/>
          <w:szCs w:val="26"/>
          <w:lang w:val="de-DE"/>
        </w:rPr>
        <w:t xml:space="preserve"> – sie weist wie alle juristisch relevanten Texte, z.B. Gesetzestexte, eine bestimmte Gliederung in Paragrafen (§) und einzelne Absätze (1) (2) usw. auf.</w:t>
      </w:r>
      <w:r>
        <w:rPr>
          <w:rFonts w:ascii="Bahnschrift" w:hAnsi="Bahnschrift"/>
          <w:sz w:val="26"/>
          <w:szCs w:val="26"/>
          <w:lang w:val="de-DE"/>
        </w:rPr>
        <w:t xml:space="preserve"> </w:t>
      </w:r>
    </w:p>
    <w:p w:rsidR="000F3306" w:rsidRPr="000F3306" w:rsidRDefault="000F3306" w:rsidP="000F3306">
      <w:pPr>
        <w:pStyle w:val="Odstavecseseznamem"/>
        <w:rPr>
          <w:rFonts w:ascii="Bahnschrift" w:hAnsi="Bahnschrift"/>
          <w:sz w:val="26"/>
          <w:szCs w:val="26"/>
          <w:lang w:val="de-DE"/>
        </w:rPr>
      </w:pPr>
    </w:p>
    <w:p w:rsidR="000F3306" w:rsidRDefault="000F3306" w:rsidP="000F3306">
      <w:pPr>
        <w:pStyle w:val="Odstavecseseznamem"/>
        <w:numPr>
          <w:ilvl w:val="0"/>
          <w:numId w:val="1"/>
        </w:numPr>
        <w:rPr>
          <w:rFonts w:ascii="Bahnschrift" w:hAnsi="Bahnschrift"/>
          <w:sz w:val="26"/>
          <w:szCs w:val="26"/>
          <w:lang w:val="de-DE"/>
        </w:rPr>
      </w:pPr>
      <w:r>
        <w:rPr>
          <w:rFonts w:ascii="Bahnschrift" w:hAnsi="Bahnschrift"/>
          <w:sz w:val="26"/>
          <w:szCs w:val="26"/>
          <w:lang w:val="de-DE"/>
        </w:rPr>
        <w:t>Termini – Streben nach größtmöglicher Eindeutigkeit; Rekurrenz (Wiederholung bedeutungstragender Wörter; Hyperonym</w:t>
      </w:r>
      <w:r w:rsidR="006A3777">
        <w:rPr>
          <w:rFonts w:ascii="Bahnschrift" w:hAnsi="Bahnschrift"/>
          <w:sz w:val="26"/>
          <w:szCs w:val="26"/>
          <w:lang w:val="de-DE"/>
        </w:rPr>
        <w:t xml:space="preserve"> – Hyponym – Kohyponym; auch Wortstammwiederholungen)</w:t>
      </w:r>
    </w:p>
    <w:p w:rsidR="000F3306" w:rsidRPr="000F3306" w:rsidRDefault="000F3306" w:rsidP="000F3306">
      <w:pPr>
        <w:pStyle w:val="Odstavecseseznamem"/>
        <w:rPr>
          <w:rFonts w:ascii="Bahnschrift" w:hAnsi="Bahnschrift"/>
          <w:sz w:val="26"/>
          <w:szCs w:val="26"/>
          <w:lang w:val="de-DE"/>
        </w:rPr>
      </w:pPr>
    </w:p>
    <w:p w:rsidR="000F3306" w:rsidRDefault="000F3306" w:rsidP="000F3306">
      <w:pPr>
        <w:pStyle w:val="Odstavecseseznamem"/>
        <w:numPr>
          <w:ilvl w:val="0"/>
          <w:numId w:val="1"/>
        </w:numPr>
        <w:rPr>
          <w:rFonts w:ascii="Bahnschrift" w:hAnsi="Bahnschrift"/>
          <w:sz w:val="26"/>
          <w:szCs w:val="26"/>
          <w:lang w:val="de-DE"/>
        </w:rPr>
      </w:pPr>
      <w:r>
        <w:rPr>
          <w:rFonts w:ascii="Bahnschrift" w:hAnsi="Bahnschrift"/>
          <w:sz w:val="26"/>
          <w:szCs w:val="26"/>
          <w:lang w:val="de-DE"/>
        </w:rPr>
        <w:t xml:space="preserve">nur wenige Pronominalisierungen – der Grund für die Vermeidung der Substitution von Nominal- oder Präpositionalphrasen usw. ist der, den eindeutigen Bezug auf das Gemeinte sicherzustellen, da Pronomina in </w:t>
      </w:r>
      <w:r w:rsidR="006A3777">
        <w:rPr>
          <w:rFonts w:ascii="Bahnschrift" w:hAnsi="Bahnschrift"/>
          <w:sz w:val="26"/>
          <w:szCs w:val="26"/>
          <w:lang w:val="de-DE"/>
        </w:rPr>
        <w:t>ihrem Bezug eventuell missverstanden werden können</w:t>
      </w:r>
    </w:p>
    <w:p w:rsidR="006A3777" w:rsidRPr="006A3777" w:rsidRDefault="006A3777" w:rsidP="006A3777">
      <w:pPr>
        <w:pStyle w:val="Odstavecseseznamem"/>
        <w:rPr>
          <w:rFonts w:ascii="Bahnschrift" w:hAnsi="Bahnschrift"/>
          <w:sz w:val="26"/>
          <w:szCs w:val="26"/>
          <w:lang w:val="de-DE"/>
        </w:rPr>
      </w:pPr>
    </w:p>
    <w:p w:rsidR="006A3777" w:rsidRDefault="006A3777" w:rsidP="006A3777">
      <w:pPr>
        <w:pStyle w:val="Odstavecseseznamem"/>
        <w:numPr>
          <w:ilvl w:val="0"/>
          <w:numId w:val="1"/>
        </w:numPr>
        <w:rPr>
          <w:rFonts w:ascii="Bahnschrift" w:hAnsi="Bahnschrift"/>
          <w:sz w:val="26"/>
          <w:szCs w:val="26"/>
          <w:lang w:val="de-DE"/>
        </w:rPr>
      </w:pPr>
      <w:r>
        <w:rPr>
          <w:rFonts w:ascii="Bahnschrift" w:hAnsi="Bahnschrift"/>
          <w:sz w:val="26"/>
          <w:szCs w:val="26"/>
          <w:lang w:val="de-DE"/>
        </w:rPr>
        <w:t>Verben: Tempus – meistens das generische Präsens zur Kennzeichnung der Allgemeingültigkeit und potenziellen Wiederholbarkeit der Aussagen; Modus – in der Regel der Indikativ, der Faktizität anzeigt; gelegentlich kommen Funktionsverbgefüge vor</w:t>
      </w:r>
    </w:p>
    <w:p w:rsidR="006A3777" w:rsidRPr="006A3777" w:rsidRDefault="006A3777" w:rsidP="006A3777">
      <w:pPr>
        <w:pStyle w:val="Odstavecseseznamem"/>
        <w:rPr>
          <w:rFonts w:ascii="Bahnschrift" w:hAnsi="Bahnschrift"/>
          <w:sz w:val="26"/>
          <w:szCs w:val="26"/>
          <w:lang w:val="de-DE"/>
        </w:rPr>
      </w:pPr>
    </w:p>
    <w:p w:rsidR="006A3777" w:rsidRDefault="006A3777" w:rsidP="006A3777">
      <w:pPr>
        <w:pStyle w:val="Odstavecseseznamem"/>
        <w:numPr>
          <w:ilvl w:val="0"/>
          <w:numId w:val="1"/>
        </w:numPr>
        <w:rPr>
          <w:rFonts w:ascii="Bahnschrift" w:hAnsi="Bahnschrift"/>
          <w:sz w:val="26"/>
          <w:szCs w:val="26"/>
          <w:lang w:val="de-DE"/>
        </w:rPr>
      </w:pPr>
      <w:r>
        <w:rPr>
          <w:rFonts w:ascii="Bahnschrift" w:hAnsi="Bahnschrift"/>
          <w:sz w:val="26"/>
          <w:szCs w:val="26"/>
          <w:lang w:val="de-DE"/>
        </w:rPr>
        <w:t>Mehrgliedrige Nominal-, Verbal- und Adjektivphrasen – hohe Dichte der asyndetisch wie syndetisch verbundenen Phrasen (Konnektoren wie UND, SOWIE, INSBESONDERE etc.)</w:t>
      </w:r>
    </w:p>
    <w:p w:rsidR="006A3777" w:rsidRPr="006A3777" w:rsidRDefault="006A3777" w:rsidP="006A3777">
      <w:pPr>
        <w:pStyle w:val="Odstavecseseznamem"/>
        <w:rPr>
          <w:rFonts w:ascii="Bahnschrift" w:hAnsi="Bahnschrift"/>
          <w:sz w:val="26"/>
          <w:szCs w:val="26"/>
          <w:lang w:val="de-DE"/>
        </w:rPr>
      </w:pPr>
    </w:p>
    <w:p w:rsidR="006A3777" w:rsidRDefault="006A3777" w:rsidP="006A3777">
      <w:pPr>
        <w:pStyle w:val="Odstavecseseznamem"/>
        <w:numPr>
          <w:ilvl w:val="0"/>
          <w:numId w:val="1"/>
        </w:numPr>
        <w:rPr>
          <w:rFonts w:ascii="Bahnschrift" w:hAnsi="Bahnschrift"/>
          <w:sz w:val="26"/>
          <w:szCs w:val="26"/>
          <w:lang w:val="de-DE"/>
        </w:rPr>
      </w:pPr>
      <w:r>
        <w:rPr>
          <w:rFonts w:ascii="Bahnschrift" w:hAnsi="Bahnschrift"/>
          <w:sz w:val="26"/>
          <w:szCs w:val="26"/>
          <w:lang w:val="de-DE"/>
        </w:rPr>
        <w:t>Vorgangspassiv bzw. Passivumschreibungen – Passivkonstruktionen haben den besonderen Vorteil, auf die Angabe des Agens verzichten zu können, wenn dieses aus kommunikativen Gründen nicht notwendig ist</w:t>
      </w:r>
    </w:p>
    <w:p w:rsidR="006A3777" w:rsidRPr="006A3777" w:rsidRDefault="006A3777" w:rsidP="006A3777">
      <w:pPr>
        <w:pStyle w:val="Odstavecseseznamem"/>
        <w:rPr>
          <w:rFonts w:ascii="Bahnschrift" w:hAnsi="Bahnschrift"/>
          <w:sz w:val="26"/>
          <w:szCs w:val="26"/>
          <w:lang w:val="de-DE"/>
        </w:rPr>
      </w:pPr>
    </w:p>
    <w:p w:rsidR="006A3777" w:rsidRDefault="006A3777" w:rsidP="006A3777">
      <w:pPr>
        <w:pStyle w:val="Odstavecseseznamem"/>
        <w:numPr>
          <w:ilvl w:val="0"/>
          <w:numId w:val="1"/>
        </w:numPr>
        <w:rPr>
          <w:rFonts w:ascii="Bahnschrift" w:hAnsi="Bahnschrift"/>
          <w:sz w:val="26"/>
          <w:szCs w:val="26"/>
          <w:lang w:val="de-DE"/>
        </w:rPr>
      </w:pPr>
      <w:r>
        <w:rPr>
          <w:rFonts w:ascii="Bahnschrift" w:hAnsi="Bahnschrift"/>
          <w:sz w:val="26"/>
          <w:szCs w:val="26"/>
          <w:lang w:val="de-DE"/>
        </w:rPr>
        <w:t>Nominalstil – Verdichtung; durch den Nominalstil wird der Inhalt eines ganzen Satzes in einer Nominal- oder Präpositionalphrase kondensiert; durch das Weglassen von Attributen wird der Satzinhalt verknappt und auf das Wesentliche beschränkt</w:t>
      </w:r>
    </w:p>
    <w:p w:rsidR="006A3777" w:rsidRPr="006A3777" w:rsidRDefault="006A3777" w:rsidP="006A3777">
      <w:pPr>
        <w:pStyle w:val="Odstavecseseznamem"/>
        <w:rPr>
          <w:rFonts w:ascii="Bahnschrift" w:hAnsi="Bahnschrift"/>
          <w:sz w:val="26"/>
          <w:szCs w:val="26"/>
          <w:lang w:val="de-DE"/>
        </w:rPr>
      </w:pPr>
    </w:p>
    <w:p w:rsidR="006A3777" w:rsidRDefault="006A3777" w:rsidP="006A3777">
      <w:pPr>
        <w:pStyle w:val="Odstavecseseznamem"/>
        <w:numPr>
          <w:ilvl w:val="0"/>
          <w:numId w:val="1"/>
        </w:numPr>
        <w:rPr>
          <w:rFonts w:ascii="Bahnschrift" w:hAnsi="Bahnschrift"/>
          <w:sz w:val="26"/>
          <w:szCs w:val="26"/>
          <w:lang w:val="de-DE"/>
        </w:rPr>
      </w:pPr>
      <w:r>
        <w:rPr>
          <w:rFonts w:ascii="Bahnschrift" w:hAnsi="Bahnschrift"/>
          <w:sz w:val="26"/>
          <w:szCs w:val="26"/>
          <w:lang w:val="de-DE"/>
        </w:rPr>
        <w:t xml:space="preserve">Komplexe Satzstruktur </w:t>
      </w:r>
      <w:r w:rsidR="000C2326">
        <w:rPr>
          <w:rFonts w:ascii="Bahnschrift" w:hAnsi="Bahnschrift"/>
          <w:sz w:val="26"/>
          <w:szCs w:val="26"/>
          <w:lang w:val="de-DE"/>
        </w:rPr>
        <w:t>–</w:t>
      </w:r>
      <w:r>
        <w:rPr>
          <w:rFonts w:ascii="Bahnschrift" w:hAnsi="Bahnschrift"/>
          <w:sz w:val="26"/>
          <w:szCs w:val="26"/>
          <w:lang w:val="de-DE"/>
        </w:rPr>
        <w:t xml:space="preserve"> </w:t>
      </w:r>
      <w:r w:rsidR="000C2326">
        <w:rPr>
          <w:rFonts w:ascii="Bahnschrift" w:hAnsi="Bahnschrift"/>
          <w:sz w:val="26"/>
          <w:szCs w:val="26"/>
          <w:lang w:val="de-DE"/>
        </w:rPr>
        <w:t>Parataxen, Hypotaxen, Infinitivkonstruktionen</w:t>
      </w:r>
    </w:p>
    <w:p w:rsidR="000C2326" w:rsidRPr="000C2326" w:rsidRDefault="000C2326" w:rsidP="000C2326">
      <w:pPr>
        <w:pStyle w:val="Odstavecseseznamem"/>
        <w:rPr>
          <w:rFonts w:ascii="Bahnschrift" w:hAnsi="Bahnschrift"/>
          <w:sz w:val="26"/>
          <w:szCs w:val="26"/>
          <w:lang w:val="de-DE"/>
        </w:rPr>
      </w:pPr>
    </w:p>
    <w:p w:rsidR="000F3306" w:rsidRPr="000C2326" w:rsidRDefault="000C2326" w:rsidP="000C2326">
      <w:pPr>
        <w:pStyle w:val="Odstavecseseznamem"/>
        <w:numPr>
          <w:ilvl w:val="0"/>
          <w:numId w:val="1"/>
        </w:numPr>
        <w:rPr>
          <w:rFonts w:ascii="Bahnschrift" w:hAnsi="Bahnschrift"/>
          <w:sz w:val="26"/>
          <w:szCs w:val="26"/>
          <w:lang w:val="de-DE"/>
        </w:rPr>
      </w:pPr>
      <w:r w:rsidRPr="000C2326">
        <w:rPr>
          <w:rFonts w:ascii="Bahnschrift" w:hAnsi="Bahnschrift"/>
          <w:sz w:val="26"/>
          <w:szCs w:val="26"/>
          <w:lang w:val="de-DE"/>
        </w:rPr>
        <w:t>Thema-Rhema-Gliederung: Das beinahe wörtliche Wiederaufgreifen eines Rhemas als Thema des nachfolgenden Satzes ermöglicht ein schnelleres Erfassen des thematisch Gleichen und eine Fokussierung der Aufmerksamkeit auf die relevanten Unterschiede innerhalb der einzelnen Absätze</w:t>
      </w:r>
    </w:p>
    <w:sectPr w:rsidR="000F3306" w:rsidRPr="000C2326">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ADD" w:rsidRDefault="00290ADD" w:rsidP="000F3306">
      <w:r>
        <w:separator/>
      </w:r>
    </w:p>
  </w:endnote>
  <w:endnote w:type="continuationSeparator" w:id="0">
    <w:p w:rsidR="00290ADD" w:rsidRDefault="00290ADD" w:rsidP="000F3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ADD" w:rsidRDefault="00290ADD" w:rsidP="000F3306">
      <w:r>
        <w:separator/>
      </w:r>
    </w:p>
  </w:footnote>
  <w:footnote w:type="continuationSeparator" w:id="0">
    <w:p w:rsidR="00290ADD" w:rsidRDefault="00290ADD" w:rsidP="000F33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lang w:val="de-DE"/>
      </w:rPr>
      <w:alias w:val="Název"/>
      <w:id w:val="77738743"/>
      <w:placeholder>
        <w:docPart w:val="9B86FF3183D1463ABE07F3C01AE1DC56"/>
      </w:placeholder>
      <w:dataBinding w:prefixMappings="xmlns:ns0='http://schemas.openxmlformats.org/package/2006/metadata/core-properties' xmlns:ns1='http://purl.org/dc/elements/1.1/'" w:xpath="/ns0:coreProperties[1]/ns1:title[1]" w:storeItemID="{6C3C8BC8-F283-45AE-878A-BAB7291924A1}"/>
      <w:text/>
    </w:sdtPr>
    <w:sdtContent>
      <w:p w:rsidR="000F3306" w:rsidRPr="000F3306" w:rsidRDefault="000F3306">
        <w:pPr>
          <w:pStyle w:val="Zhlav"/>
          <w:pBdr>
            <w:bottom w:val="thickThinSmallGap" w:sz="24" w:space="1" w:color="622423" w:themeColor="accent2" w:themeShade="7F"/>
          </w:pBdr>
          <w:jc w:val="center"/>
          <w:rPr>
            <w:rFonts w:asciiTheme="majorHAnsi" w:eastAsiaTheme="majorEastAsia" w:hAnsiTheme="majorHAnsi" w:cstheme="majorBidi"/>
            <w:sz w:val="32"/>
            <w:szCs w:val="32"/>
            <w:lang w:val="de-DE"/>
          </w:rPr>
        </w:pPr>
        <w:r w:rsidRPr="000F3306">
          <w:rPr>
            <w:rFonts w:asciiTheme="majorHAnsi" w:eastAsiaTheme="majorEastAsia" w:hAnsiTheme="majorHAnsi" w:cstheme="majorBidi"/>
            <w:sz w:val="32"/>
            <w:szCs w:val="32"/>
            <w:lang w:val="de-DE"/>
          </w:rPr>
          <w:t xml:space="preserve">Dr. </w:t>
        </w:r>
        <w:proofErr w:type="spellStart"/>
        <w:r w:rsidRPr="000F3306">
          <w:rPr>
            <w:rFonts w:asciiTheme="majorHAnsi" w:eastAsiaTheme="majorEastAsia" w:hAnsiTheme="majorHAnsi" w:cstheme="majorBidi"/>
            <w:sz w:val="32"/>
            <w:szCs w:val="32"/>
            <w:lang w:val="de-DE"/>
          </w:rPr>
          <w:t>Vávra</w:t>
        </w:r>
        <w:proofErr w:type="spellEnd"/>
        <w:r w:rsidRPr="000F3306">
          <w:rPr>
            <w:rFonts w:asciiTheme="majorHAnsi" w:eastAsiaTheme="majorEastAsia" w:hAnsiTheme="majorHAnsi" w:cstheme="majorBidi"/>
            <w:sz w:val="32"/>
            <w:szCs w:val="32"/>
            <w:lang w:val="de-DE"/>
          </w:rPr>
          <w:t>: AON1 – Analyse eines Verwaltungstextes</w:t>
        </w:r>
      </w:p>
    </w:sdtContent>
  </w:sdt>
  <w:p w:rsidR="000F3306" w:rsidRDefault="000F3306">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A62BBF"/>
    <w:multiLevelType w:val="hybridMultilevel"/>
    <w:tmpl w:val="ADCAAC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306"/>
    <w:rsid w:val="000C2326"/>
    <w:rsid w:val="000F3306"/>
    <w:rsid w:val="00290ADD"/>
    <w:rsid w:val="003E4FA4"/>
    <w:rsid w:val="006A3777"/>
    <w:rsid w:val="006E17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E1773"/>
    <w:pPr>
      <w:suppressAutoHyphens/>
    </w:pPr>
    <w:rPr>
      <w:sz w:val="24"/>
      <w:szCs w:val="24"/>
      <w:lang w:eastAsia="zh-CN"/>
    </w:rPr>
  </w:style>
  <w:style w:type="paragraph" w:styleId="Nadpis1">
    <w:name w:val="heading 1"/>
    <w:basedOn w:val="Normln"/>
    <w:next w:val="Zkladntext"/>
    <w:link w:val="Nadpis1Char"/>
    <w:qFormat/>
    <w:rsid w:val="006E1773"/>
    <w:pPr>
      <w:keepNext/>
      <w:tabs>
        <w:tab w:val="num" w:pos="432"/>
      </w:tabs>
      <w:spacing w:before="240" w:after="120"/>
      <w:ind w:left="432" w:hanging="432"/>
      <w:outlineLvl w:val="0"/>
    </w:pPr>
    <w:rPr>
      <w:rFonts w:ascii="Liberation Sans" w:eastAsia="Microsoft YaHei" w:hAnsi="Liberation Sans" w:cs="Mangal"/>
      <w:b/>
      <w:bCs/>
      <w:sz w:val="36"/>
      <w:szCs w:val="36"/>
    </w:rPr>
  </w:style>
  <w:style w:type="paragraph" w:styleId="Nadpis2">
    <w:name w:val="heading 2"/>
    <w:basedOn w:val="Normln"/>
    <w:next w:val="Zkladntext"/>
    <w:link w:val="Nadpis2Char"/>
    <w:qFormat/>
    <w:rsid w:val="006E1773"/>
    <w:pPr>
      <w:keepNext/>
      <w:tabs>
        <w:tab w:val="num" w:pos="576"/>
      </w:tabs>
      <w:spacing w:before="200" w:after="120"/>
      <w:ind w:left="576" w:hanging="576"/>
      <w:outlineLvl w:val="1"/>
    </w:pPr>
    <w:rPr>
      <w:rFonts w:ascii="Liberation Sans" w:eastAsia="Microsoft YaHei" w:hAnsi="Liberation Sans" w:cs="Mangal"/>
      <w:b/>
      <w:bCs/>
      <w:sz w:val="32"/>
      <w:szCs w:val="32"/>
    </w:rPr>
  </w:style>
  <w:style w:type="paragraph" w:styleId="Nadpis3">
    <w:name w:val="heading 3"/>
    <w:basedOn w:val="Normln"/>
    <w:next w:val="Zkladntext"/>
    <w:link w:val="Nadpis3Char"/>
    <w:qFormat/>
    <w:rsid w:val="006E1773"/>
    <w:pPr>
      <w:keepNext/>
      <w:tabs>
        <w:tab w:val="num" w:pos="720"/>
      </w:tabs>
      <w:spacing w:before="140" w:after="120"/>
      <w:ind w:left="720" w:hanging="720"/>
      <w:outlineLvl w:val="2"/>
    </w:pPr>
    <w:rPr>
      <w:rFonts w:ascii="Liberation Sans" w:eastAsia="Microsoft YaHei" w:hAnsi="Liberation Sans" w:cs="Mangal"/>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6E1773"/>
    <w:rPr>
      <w:rFonts w:ascii="Liberation Sans" w:eastAsia="Microsoft YaHei" w:hAnsi="Liberation Sans" w:cs="Mangal"/>
      <w:b/>
      <w:bCs/>
      <w:sz w:val="36"/>
      <w:szCs w:val="36"/>
      <w:lang w:eastAsia="zh-CN"/>
    </w:rPr>
  </w:style>
  <w:style w:type="character" w:customStyle="1" w:styleId="Nadpis2Char">
    <w:name w:val="Nadpis 2 Char"/>
    <w:basedOn w:val="Standardnpsmoodstavce"/>
    <w:link w:val="Nadpis2"/>
    <w:rsid w:val="006E1773"/>
    <w:rPr>
      <w:rFonts w:ascii="Liberation Sans" w:eastAsia="Microsoft YaHei" w:hAnsi="Liberation Sans" w:cs="Mangal"/>
      <w:b/>
      <w:bCs/>
      <w:sz w:val="32"/>
      <w:szCs w:val="32"/>
      <w:lang w:eastAsia="zh-CN"/>
    </w:rPr>
  </w:style>
  <w:style w:type="paragraph" w:styleId="Zkladntext">
    <w:name w:val="Body Text"/>
    <w:basedOn w:val="Normln"/>
    <w:link w:val="ZkladntextChar"/>
    <w:uiPriority w:val="99"/>
    <w:semiHidden/>
    <w:unhideWhenUsed/>
    <w:rsid w:val="006E1773"/>
    <w:pPr>
      <w:spacing w:after="120"/>
    </w:pPr>
  </w:style>
  <w:style w:type="character" w:customStyle="1" w:styleId="ZkladntextChar">
    <w:name w:val="Základní text Char"/>
    <w:basedOn w:val="Standardnpsmoodstavce"/>
    <w:link w:val="Zkladntext"/>
    <w:uiPriority w:val="99"/>
    <w:semiHidden/>
    <w:rsid w:val="006E1773"/>
    <w:rPr>
      <w:rFonts w:ascii="Times New Roman" w:eastAsia="Calibri" w:hAnsi="Times New Roman"/>
      <w:sz w:val="24"/>
    </w:rPr>
  </w:style>
  <w:style w:type="character" w:customStyle="1" w:styleId="Nadpis3Char">
    <w:name w:val="Nadpis 3 Char"/>
    <w:basedOn w:val="Standardnpsmoodstavce"/>
    <w:link w:val="Nadpis3"/>
    <w:rsid w:val="006E1773"/>
    <w:rPr>
      <w:rFonts w:ascii="Liberation Sans" w:eastAsia="Microsoft YaHei" w:hAnsi="Liberation Sans" w:cs="Mangal"/>
      <w:b/>
      <w:bCs/>
      <w:sz w:val="28"/>
      <w:szCs w:val="28"/>
      <w:lang w:eastAsia="zh-CN"/>
    </w:rPr>
  </w:style>
  <w:style w:type="paragraph" w:styleId="Textpoznpodarou">
    <w:name w:val="footnote text"/>
    <w:basedOn w:val="Normln"/>
    <w:link w:val="TextpoznpodarouChar"/>
    <w:unhideWhenUsed/>
    <w:rsid w:val="006E1773"/>
    <w:pPr>
      <w:spacing w:after="120"/>
    </w:pPr>
    <w:rPr>
      <w:sz w:val="20"/>
      <w:szCs w:val="20"/>
      <w:lang w:val="de-DE"/>
    </w:rPr>
  </w:style>
  <w:style w:type="character" w:customStyle="1" w:styleId="TextpoznpodarouChar">
    <w:name w:val="Text pozn. pod čarou Char"/>
    <w:basedOn w:val="Standardnpsmoodstavce"/>
    <w:link w:val="Textpoznpodarou"/>
    <w:rsid w:val="006E1773"/>
    <w:rPr>
      <w:rFonts w:ascii="Times New Roman" w:eastAsia="Calibri" w:hAnsi="Times New Roman" w:cs="Times New Roman"/>
      <w:sz w:val="20"/>
      <w:szCs w:val="20"/>
      <w:lang w:val="de-DE"/>
    </w:rPr>
  </w:style>
  <w:style w:type="paragraph" w:styleId="Titulek">
    <w:name w:val="caption"/>
    <w:basedOn w:val="Normln"/>
    <w:qFormat/>
    <w:rsid w:val="006E1773"/>
    <w:pPr>
      <w:suppressLineNumbers/>
      <w:spacing w:before="120" w:after="120"/>
    </w:pPr>
    <w:rPr>
      <w:rFonts w:eastAsia="Times New Roman" w:cs="Mangal"/>
      <w:i/>
      <w:iCs/>
    </w:rPr>
  </w:style>
  <w:style w:type="paragraph" w:styleId="Nzev">
    <w:name w:val="Title"/>
    <w:basedOn w:val="Normln"/>
    <w:next w:val="Zkladntext"/>
    <w:link w:val="NzevChar"/>
    <w:qFormat/>
    <w:rsid w:val="006E1773"/>
    <w:pPr>
      <w:keepNext/>
      <w:spacing w:before="240" w:after="120"/>
      <w:jc w:val="center"/>
    </w:pPr>
    <w:rPr>
      <w:rFonts w:ascii="Liberation Sans" w:eastAsia="Microsoft YaHei" w:hAnsi="Liberation Sans" w:cs="Mangal"/>
      <w:b/>
      <w:bCs/>
      <w:sz w:val="56"/>
      <w:szCs w:val="56"/>
    </w:rPr>
  </w:style>
  <w:style w:type="character" w:customStyle="1" w:styleId="NzevChar">
    <w:name w:val="Název Char"/>
    <w:basedOn w:val="Standardnpsmoodstavce"/>
    <w:link w:val="Nzev"/>
    <w:rsid w:val="006E1773"/>
    <w:rPr>
      <w:rFonts w:ascii="Liberation Sans" w:eastAsia="Microsoft YaHei" w:hAnsi="Liberation Sans" w:cs="Mangal"/>
      <w:b/>
      <w:bCs/>
      <w:sz w:val="56"/>
      <w:szCs w:val="56"/>
      <w:lang w:eastAsia="zh-CN"/>
    </w:rPr>
  </w:style>
  <w:style w:type="paragraph" w:styleId="Podtitul">
    <w:name w:val="Subtitle"/>
    <w:basedOn w:val="Normln"/>
    <w:next w:val="Zkladntext"/>
    <w:link w:val="PodtitulChar"/>
    <w:qFormat/>
    <w:rsid w:val="006E1773"/>
    <w:pPr>
      <w:keepNext/>
      <w:spacing w:before="60" w:after="120"/>
      <w:jc w:val="center"/>
    </w:pPr>
    <w:rPr>
      <w:rFonts w:ascii="Liberation Sans" w:eastAsia="Microsoft YaHei" w:hAnsi="Liberation Sans" w:cs="Mangal"/>
      <w:sz w:val="36"/>
      <w:szCs w:val="36"/>
    </w:rPr>
  </w:style>
  <w:style w:type="character" w:customStyle="1" w:styleId="PodtitulChar">
    <w:name w:val="Podtitul Char"/>
    <w:basedOn w:val="Standardnpsmoodstavce"/>
    <w:link w:val="Podtitul"/>
    <w:rsid w:val="006E1773"/>
    <w:rPr>
      <w:rFonts w:ascii="Liberation Sans" w:eastAsia="Microsoft YaHei" w:hAnsi="Liberation Sans" w:cs="Mangal"/>
      <w:sz w:val="36"/>
      <w:szCs w:val="36"/>
      <w:lang w:eastAsia="zh-CN"/>
    </w:rPr>
  </w:style>
  <w:style w:type="paragraph" w:styleId="Odstavecseseznamem">
    <w:name w:val="List Paragraph"/>
    <w:basedOn w:val="Normln"/>
    <w:uiPriority w:val="34"/>
    <w:qFormat/>
    <w:rsid w:val="006E1773"/>
    <w:pPr>
      <w:ind w:left="708"/>
    </w:pPr>
  </w:style>
  <w:style w:type="table" w:styleId="Mkatabulky">
    <w:name w:val="Table Grid"/>
    <w:basedOn w:val="Normlntabulka"/>
    <w:uiPriority w:val="59"/>
    <w:rsid w:val="000F3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0F3306"/>
    <w:pPr>
      <w:tabs>
        <w:tab w:val="center" w:pos="4536"/>
        <w:tab w:val="right" w:pos="9072"/>
      </w:tabs>
    </w:pPr>
  </w:style>
  <w:style w:type="character" w:customStyle="1" w:styleId="ZhlavChar">
    <w:name w:val="Záhlaví Char"/>
    <w:basedOn w:val="Standardnpsmoodstavce"/>
    <w:link w:val="Zhlav"/>
    <w:uiPriority w:val="99"/>
    <w:rsid w:val="000F3306"/>
    <w:rPr>
      <w:sz w:val="24"/>
      <w:szCs w:val="24"/>
      <w:lang w:eastAsia="zh-CN"/>
    </w:rPr>
  </w:style>
  <w:style w:type="paragraph" w:styleId="Zpat">
    <w:name w:val="footer"/>
    <w:basedOn w:val="Normln"/>
    <w:link w:val="ZpatChar"/>
    <w:uiPriority w:val="99"/>
    <w:unhideWhenUsed/>
    <w:rsid w:val="000F3306"/>
    <w:pPr>
      <w:tabs>
        <w:tab w:val="center" w:pos="4536"/>
        <w:tab w:val="right" w:pos="9072"/>
      </w:tabs>
    </w:pPr>
  </w:style>
  <w:style w:type="character" w:customStyle="1" w:styleId="ZpatChar">
    <w:name w:val="Zápatí Char"/>
    <w:basedOn w:val="Standardnpsmoodstavce"/>
    <w:link w:val="Zpat"/>
    <w:uiPriority w:val="99"/>
    <w:rsid w:val="000F3306"/>
    <w:rPr>
      <w:sz w:val="24"/>
      <w:szCs w:val="24"/>
      <w:lang w:eastAsia="zh-CN"/>
    </w:rPr>
  </w:style>
  <w:style w:type="paragraph" w:styleId="Textbubliny">
    <w:name w:val="Balloon Text"/>
    <w:basedOn w:val="Normln"/>
    <w:link w:val="TextbublinyChar"/>
    <w:uiPriority w:val="99"/>
    <w:semiHidden/>
    <w:unhideWhenUsed/>
    <w:rsid w:val="000F3306"/>
    <w:rPr>
      <w:rFonts w:ascii="Tahoma" w:hAnsi="Tahoma" w:cs="Tahoma"/>
      <w:sz w:val="16"/>
      <w:szCs w:val="16"/>
    </w:rPr>
  </w:style>
  <w:style w:type="character" w:customStyle="1" w:styleId="TextbublinyChar">
    <w:name w:val="Text bubliny Char"/>
    <w:basedOn w:val="Standardnpsmoodstavce"/>
    <w:link w:val="Textbubliny"/>
    <w:uiPriority w:val="99"/>
    <w:semiHidden/>
    <w:rsid w:val="000F3306"/>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E1773"/>
    <w:pPr>
      <w:suppressAutoHyphens/>
    </w:pPr>
    <w:rPr>
      <w:sz w:val="24"/>
      <w:szCs w:val="24"/>
      <w:lang w:eastAsia="zh-CN"/>
    </w:rPr>
  </w:style>
  <w:style w:type="paragraph" w:styleId="Nadpis1">
    <w:name w:val="heading 1"/>
    <w:basedOn w:val="Normln"/>
    <w:next w:val="Zkladntext"/>
    <w:link w:val="Nadpis1Char"/>
    <w:qFormat/>
    <w:rsid w:val="006E1773"/>
    <w:pPr>
      <w:keepNext/>
      <w:tabs>
        <w:tab w:val="num" w:pos="432"/>
      </w:tabs>
      <w:spacing w:before="240" w:after="120"/>
      <w:ind w:left="432" w:hanging="432"/>
      <w:outlineLvl w:val="0"/>
    </w:pPr>
    <w:rPr>
      <w:rFonts w:ascii="Liberation Sans" w:eastAsia="Microsoft YaHei" w:hAnsi="Liberation Sans" w:cs="Mangal"/>
      <w:b/>
      <w:bCs/>
      <w:sz w:val="36"/>
      <w:szCs w:val="36"/>
    </w:rPr>
  </w:style>
  <w:style w:type="paragraph" w:styleId="Nadpis2">
    <w:name w:val="heading 2"/>
    <w:basedOn w:val="Normln"/>
    <w:next w:val="Zkladntext"/>
    <w:link w:val="Nadpis2Char"/>
    <w:qFormat/>
    <w:rsid w:val="006E1773"/>
    <w:pPr>
      <w:keepNext/>
      <w:tabs>
        <w:tab w:val="num" w:pos="576"/>
      </w:tabs>
      <w:spacing w:before="200" w:after="120"/>
      <w:ind w:left="576" w:hanging="576"/>
      <w:outlineLvl w:val="1"/>
    </w:pPr>
    <w:rPr>
      <w:rFonts w:ascii="Liberation Sans" w:eastAsia="Microsoft YaHei" w:hAnsi="Liberation Sans" w:cs="Mangal"/>
      <w:b/>
      <w:bCs/>
      <w:sz w:val="32"/>
      <w:szCs w:val="32"/>
    </w:rPr>
  </w:style>
  <w:style w:type="paragraph" w:styleId="Nadpis3">
    <w:name w:val="heading 3"/>
    <w:basedOn w:val="Normln"/>
    <w:next w:val="Zkladntext"/>
    <w:link w:val="Nadpis3Char"/>
    <w:qFormat/>
    <w:rsid w:val="006E1773"/>
    <w:pPr>
      <w:keepNext/>
      <w:tabs>
        <w:tab w:val="num" w:pos="720"/>
      </w:tabs>
      <w:spacing w:before="140" w:after="120"/>
      <w:ind w:left="720" w:hanging="720"/>
      <w:outlineLvl w:val="2"/>
    </w:pPr>
    <w:rPr>
      <w:rFonts w:ascii="Liberation Sans" w:eastAsia="Microsoft YaHei" w:hAnsi="Liberation Sans" w:cs="Mangal"/>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6E1773"/>
    <w:rPr>
      <w:rFonts w:ascii="Liberation Sans" w:eastAsia="Microsoft YaHei" w:hAnsi="Liberation Sans" w:cs="Mangal"/>
      <w:b/>
      <w:bCs/>
      <w:sz w:val="36"/>
      <w:szCs w:val="36"/>
      <w:lang w:eastAsia="zh-CN"/>
    </w:rPr>
  </w:style>
  <w:style w:type="character" w:customStyle="1" w:styleId="Nadpis2Char">
    <w:name w:val="Nadpis 2 Char"/>
    <w:basedOn w:val="Standardnpsmoodstavce"/>
    <w:link w:val="Nadpis2"/>
    <w:rsid w:val="006E1773"/>
    <w:rPr>
      <w:rFonts w:ascii="Liberation Sans" w:eastAsia="Microsoft YaHei" w:hAnsi="Liberation Sans" w:cs="Mangal"/>
      <w:b/>
      <w:bCs/>
      <w:sz w:val="32"/>
      <w:szCs w:val="32"/>
      <w:lang w:eastAsia="zh-CN"/>
    </w:rPr>
  </w:style>
  <w:style w:type="paragraph" w:styleId="Zkladntext">
    <w:name w:val="Body Text"/>
    <w:basedOn w:val="Normln"/>
    <w:link w:val="ZkladntextChar"/>
    <w:uiPriority w:val="99"/>
    <w:semiHidden/>
    <w:unhideWhenUsed/>
    <w:rsid w:val="006E1773"/>
    <w:pPr>
      <w:spacing w:after="120"/>
    </w:pPr>
  </w:style>
  <w:style w:type="character" w:customStyle="1" w:styleId="ZkladntextChar">
    <w:name w:val="Základní text Char"/>
    <w:basedOn w:val="Standardnpsmoodstavce"/>
    <w:link w:val="Zkladntext"/>
    <w:uiPriority w:val="99"/>
    <w:semiHidden/>
    <w:rsid w:val="006E1773"/>
    <w:rPr>
      <w:rFonts w:ascii="Times New Roman" w:eastAsia="Calibri" w:hAnsi="Times New Roman"/>
      <w:sz w:val="24"/>
    </w:rPr>
  </w:style>
  <w:style w:type="character" w:customStyle="1" w:styleId="Nadpis3Char">
    <w:name w:val="Nadpis 3 Char"/>
    <w:basedOn w:val="Standardnpsmoodstavce"/>
    <w:link w:val="Nadpis3"/>
    <w:rsid w:val="006E1773"/>
    <w:rPr>
      <w:rFonts w:ascii="Liberation Sans" w:eastAsia="Microsoft YaHei" w:hAnsi="Liberation Sans" w:cs="Mangal"/>
      <w:b/>
      <w:bCs/>
      <w:sz w:val="28"/>
      <w:szCs w:val="28"/>
      <w:lang w:eastAsia="zh-CN"/>
    </w:rPr>
  </w:style>
  <w:style w:type="paragraph" w:styleId="Textpoznpodarou">
    <w:name w:val="footnote text"/>
    <w:basedOn w:val="Normln"/>
    <w:link w:val="TextpoznpodarouChar"/>
    <w:unhideWhenUsed/>
    <w:rsid w:val="006E1773"/>
    <w:pPr>
      <w:spacing w:after="120"/>
    </w:pPr>
    <w:rPr>
      <w:sz w:val="20"/>
      <w:szCs w:val="20"/>
      <w:lang w:val="de-DE"/>
    </w:rPr>
  </w:style>
  <w:style w:type="character" w:customStyle="1" w:styleId="TextpoznpodarouChar">
    <w:name w:val="Text pozn. pod čarou Char"/>
    <w:basedOn w:val="Standardnpsmoodstavce"/>
    <w:link w:val="Textpoznpodarou"/>
    <w:rsid w:val="006E1773"/>
    <w:rPr>
      <w:rFonts w:ascii="Times New Roman" w:eastAsia="Calibri" w:hAnsi="Times New Roman" w:cs="Times New Roman"/>
      <w:sz w:val="20"/>
      <w:szCs w:val="20"/>
      <w:lang w:val="de-DE"/>
    </w:rPr>
  </w:style>
  <w:style w:type="paragraph" w:styleId="Titulek">
    <w:name w:val="caption"/>
    <w:basedOn w:val="Normln"/>
    <w:qFormat/>
    <w:rsid w:val="006E1773"/>
    <w:pPr>
      <w:suppressLineNumbers/>
      <w:spacing w:before="120" w:after="120"/>
    </w:pPr>
    <w:rPr>
      <w:rFonts w:eastAsia="Times New Roman" w:cs="Mangal"/>
      <w:i/>
      <w:iCs/>
    </w:rPr>
  </w:style>
  <w:style w:type="paragraph" w:styleId="Nzev">
    <w:name w:val="Title"/>
    <w:basedOn w:val="Normln"/>
    <w:next w:val="Zkladntext"/>
    <w:link w:val="NzevChar"/>
    <w:qFormat/>
    <w:rsid w:val="006E1773"/>
    <w:pPr>
      <w:keepNext/>
      <w:spacing w:before="240" w:after="120"/>
      <w:jc w:val="center"/>
    </w:pPr>
    <w:rPr>
      <w:rFonts w:ascii="Liberation Sans" w:eastAsia="Microsoft YaHei" w:hAnsi="Liberation Sans" w:cs="Mangal"/>
      <w:b/>
      <w:bCs/>
      <w:sz w:val="56"/>
      <w:szCs w:val="56"/>
    </w:rPr>
  </w:style>
  <w:style w:type="character" w:customStyle="1" w:styleId="NzevChar">
    <w:name w:val="Název Char"/>
    <w:basedOn w:val="Standardnpsmoodstavce"/>
    <w:link w:val="Nzev"/>
    <w:rsid w:val="006E1773"/>
    <w:rPr>
      <w:rFonts w:ascii="Liberation Sans" w:eastAsia="Microsoft YaHei" w:hAnsi="Liberation Sans" w:cs="Mangal"/>
      <w:b/>
      <w:bCs/>
      <w:sz w:val="56"/>
      <w:szCs w:val="56"/>
      <w:lang w:eastAsia="zh-CN"/>
    </w:rPr>
  </w:style>
  <w:style w:type="paragraph" w:styleId="Podtitul">
    <w:name w:val="Subtitle"/>
    <w:basedOn w:val="Normln"/>
    <w:next w:val="Zkladntext"/>
    <w:link w:val="PodtitulChar"/>
    <w:qFormat/>
    <w:rsid w:val="006E1773"/>
    <w:pPr>
      <w:keepNext/>
      <w:spacing w:before="60" w:after="120"/>
      <w:jc w:val="center"/>
    </w:pPr>
    <w:rPr>
      <w:rFonts w:ascii="Liberation Sans" w:eastAsia="Microsoft YaHei" w:hAnsi="Liberation Sans" w:cs="Mangal"/>
      <w:sz w:val="36"/>
      <w:szCs w:val="36"/>
    </w:rPr>
  </w:style>
  <w:style w:type="character" w:customStyle="1" w:styleId="PodtitulChar">
    <w:name w:val="Podtitul Char"/>
    <w:basedOn w:val="Standardnpsmoodstavce"/>
    <w:link w:val="Podtitul"/>
    <w:rsid w:val="006E1773"/>
    <w:rPr>
      <w:rFonts w:ascii="Liberation Sans" w:eastAsia="Microsoft YaHei" w:hAnsi="Liberation Sans" w:cs="Mangal"/>
      <w:sz w:val="36"/>
      <w:szCs w:val="36"/>
      <w:lang w:eastAsia="zh-CN"/>
    </w:rPr>
  </w:style>
  <w:style w:type="paragraph" w:styleId="Odstavecseseznamem">
    <w:name w:val="List Paragraph"/>
    <w:basedOn w:val="Normln"/>
    <w:uiPriority w:val="34"/>
    <w:qFormat/>
    <w:rsid w:val="006E1773"/>
    <w:pPr>
      <w:ind w:left="708"/>
    </w:pPr>
  </w:style>
  <w:style w:type="table" w:styleId="Mkatabulky">
    <w:name w:val="Table Grid"/>
    <w:basedOn w:val="Normlntabulka"/>
    <w:uiPriority w:val="59"/>
    <w:rsid w:val="000F3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0F3306"/>
    <w:pPr>
      <w:tabs>
        <w:tab w:val="center" w:pos="4536"/>
        <w:tab w:val="right" w:pos="9072"/>
      </w:tabs>
    </w:pPr>
  </w:style>
  <w:style w:type="character" w:customStyle="1" w:styleId="ZhlavChar">
    <w:name w:val="Záhlaví Char"/>
    <w:basedOn w:val="Standardnpsmoodstavce"/>
    <w:link w:val="Zhlav"/>
    <w:uiPriority w:val="99"/>
    <w:rsid w:val="000F3306"/>
    <w:rPr>
      <w:sz w:val="24"/>
      <w:szCs w:val="24"/>
      <w:lang w:eastAsia="zh-CN"/>
    </w:rPr>
  </w:style>
  <w:style w:type="paragraph" w:styleId="Zpat">
    <w:name w:val="footer"/>
    <w:basedOn w:val="Normln"/>
    <w:link w:val="ZpatChar"/>
    <w:uiPriority w:val="99"/>
    <w:unhideWhenUsed/>
    <w:rsid w:val="000F3306"/>
    <w:pPr>
      <w:tabs>
        <w:tab w:val="center" w:pos="4536"/>
        <w:tab w:val="right" w:pos="9072"/>
      </w:tabs>
    </w:pPr>
  </w:style>
  <w:style w:type="character" w:customStyle="1" w:styleId="ZpatChar">
    <w:name w:val="Zápatí Char"/>
    <w:basedOn w:val="Standardnpsmoodstavce"/>
    <w:link w:val="Zpat"/>
    <w:uiPriority w:val="99"/>
    <w:rsid w:val="000F3306"/>
    <w:rPr>
      <w:sz w:val="24"/>
      <w:szCs w:val="24"/>
      <w:lang w:eastAsia="zh-CN"/>
    </w:rPr>
  </w:style>
  <w:style w:type="paragraph" w:styleId="Textbubliny">
    <w:name w:val="Balloon Text"/>
    <w:basedOn w:val="Normln"/>
    <w:link w:val="TextbublinyChar"/>
    <w:uiPriority w:val="99"/>
    <w:semiHidden/>
    <w:unhideWhenUsed/>
    <w:rsid w:val="000F3306"/>
    <w:rPr>
      <w:rFonts w:ascii="Tahoma" w:hAnsi="Tahoma" w:cs="Tahoma"/>
      <w:sz w:val="16"/>
      <w:szCs w:val="16"/>
    </w:rPr>
  </w:style>
  <w:style w:type="character" w:customStyle="1" w:styleId="TextbublinyChar">
    <w:name w:val="Text bubliny Char"/>
    <w:basedOn w:val="Standardnpsmoodstavce"/>
    <w:link w:val="Textbubliny"/>
    <w:uiPriority w:val="99"/>
    <w:semiHidden/>
    <w:rsid w:val="000F3306"/>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3288523">
      <w:bodyDiv w:val="1"/>
      <w:marLeft w:val="0"/>
      <w:marRight w:val="0"/>
      <w:marTop w:val="0"/>
      <w:marBottom w:val="0"/>
      <w:divBdr>
        <w:top w:val="none" w:sz="0" w:space="0" w:color="auto"/>
        <w:left w:val="none" w:sz="0" w:space="0" w:color="auto"/>
        <w:bottom w:val="none" w:sz="0" w:space="0" w:color="auto"/>
        <w:right w:val="none" w:sz="0" w:space="0" w:color="auto"/>
      </w:divBdr>
      <w:divsChild>
        <w:div w:id="852575169">
          <w:marLeft w:val="0"/>
          <w:marRight w:val="0"/>
          <w:marTop w:val="0"/>
          <w:marBottom w:val="300"/>
          <w:divBdr>
            <w:top w:val="none" w:sz="0" w:space="0" w:color="auto"/>
            <w:left w:val="none" w:sz="0" w:space="0" w:color="auto"/>
            <w:bottom w:val="none" w:sz="0" w:space="0" w:color="auto"/>
            <w:right w:val="none" w:sz="0" w:space="0" w:color="auto"/>
          </w:divBdr>
          <w:divsChild>
            <w:div w:id="285501735">
              <w:marLeft w:val="750"/>
              <w:marRight w:val="0"/>
              <w:marTop w:val="0"/>
              <w:marBottom w:val="150"/>
              <w:divBdr>
                <w:top w:val="none" w:sz="0" w:space="0" w:color="auto"/>
                <w:left w:val="none" w:sz="0" w:space="0" w:color="auto"/>
                <w:bottom w:val="none" w:sz="0" w:space="0" w:color="auto"/>
                <w:right w:val="none" w:sz="0" w:space="0" w:color="auto"/>
              </w:divBdr>
            </w:div>
          </w:divsChild>
        </w:div>
        <w:div w:id="1689943533">
          <w:marLeft w:val="0"/>
          <w:marRight w:val="0"/>
          <w:marTop w:val="0"/>
          <w:marBottom w:val="300"/>
          <w:divBdr>
            <w:top w:val="none" w:sz="0" w:space="0" w:color="auto"/>
            <w:left w:val="none" w:sz="0" w:space="0" w:color="auto"/>
            <w:bottom w:val="none" w:sz="0" w:space="0" w:color="auto"/>
            <w:right w:val="none" w:sz="0" w:space="0" w:color="auto"/>
          </w:divBdr>
        </w:div>
        <w:div w:id="1044326908">
          <w:marLeft w:val="0"/>
          <w:marRight w:val="0"/>
          <w:marTop w:val="0"/>
          <w:marBottom w:val="300"/>
          <w:divBdr>
            <w:top w:val="none" w:sz="0" w:space="0" w:color="auto"/>
            <w:left w:val="none" w:sz="0" w:space="0" w:color="auto"/>
            <w:bottom w:val="none" w:sz="0" w:space="0" w:color="auto"/>
            <w:right w:val="none" w:sz="0" w:space="0" w:color="auto"/>
          </w:divBdr>
          <w:divsChild>
            <w:div w:id="1506820521">
              <w:marLeft w:val="0"/>
              <w:marRight w:val="0"/>
              <w:marTop w:val="0"/>
              <w:marBottom w:val="0"/>
              <w:divBdr>
                <w:top w:val="none" w:sz="0" w:space="0" w:color="auto"/>
                <w:left w:val="none" w:sz="0" w:space="0" w:color="auto"/>
                <w:bottom w:val="none" w:sz="0" w:space="0" w:color="auto"/>
                <w:right w:val="none" w:sz="0" w:space="0" w:color="auto"/>
              </w:divBdr>
              <w:divsChild>
                <w:div w:id="418215428">
                  <w:marLeft w:val="0"/>
                  <w:marRight w:val="0"/>
                  <w:marTop w:val="0"/>
                  <w:marBottom w:val="150"/>
                  <w:divBdr>
                    <w:top w:val="none" w:sz="0" w:space="0" w:color="auto"/>
                    <w:left w:val="none" w:sz="0" w:space="0" w:color="auto"/>
                    <w:bottom w:val="none" w:sz="0" w:space="0" w:color="auto"/>
                    <w:right w:val="none" w:sz="0" w:space="0" w:color="auto"/>
                  </w:divBdr>
                </w:div>
                <w:div w:id="599528038">
                  <w:marLeft w:val="0"/>
                  <w:marRight w:val="0"/>
                  <w:marTop w:val="0"/>
                  <w:marBottom w:val="150"/>
                  <w:divBdr>
                    <w:top w:val="none" w:sz="0" w:space="0" w:color="auto"/>
                    <w:left w:val="none" w:sz="0" w:space="0" w:color="auto"/>
                    <w:bottom w:val="none" w:sz="0" w:space="0" w:color="auto"/>
                    <w:right w:val="none" w:sz="0" w:space="0" w:color="auto"/>
                  </w:divBdr>
                </w:div>
              </w:divsChild>
            </w:div>
            <w:div w:id="238180170">
              <w:marLeft w:val="750"/>
              <w:marRight w:val="0"/>
              <w:marTop w:val="0"/>
              <w:marBottom w:val="150"/>
              <w:divBdr>
                <w:top w:val="none" w:sz="0" w:space="0" w:color="auto"/>
                <w:left w:val="none" w:sz="0" w:space="0" w:color="auto"/>
                <w:bottom w:val="none" w:sz="0" w:space="0" w:color="auto"/>
                <w:right w:val="none" w:sz="0" w:space="0" w:color="auto"/>
              </w:divBdr>
            </w:div>
            <w:div w:id="1344894362">
              <w:marLeft w:val="750"/>
              <w:marRight w:val="0"/>
              <w:marTop w:val="0"/>
              <w:marBottom w:val="150"/>
              <w:divBdr>
                <w:top w:val="none" w:sz="0" w:space="0" w:color="auto"/>
                <w:left w:val="none" w:sz="0" w:space="0" w:color="auto"/>
                <w:bottom w:val="none" w:sz="0" w:space="0" w:color="auto"/>
                <w:right w:val="none" w:sz="0" w:space="0" w:color="auto"/>
              </w:divBdr>
            </w:div>
          </w:divsChild>
        </w:div>
        <w:div w:id="964197121">
          <w:marLeft w:val="0"/>
          <w:marRight w:val="0"/>
          <w:marTop w:val="0"/>
          <w:marBottom w:val="300"/>
          <w:divBdr>
            <w:top w:val="none" w:sz="0" w:space="0" w:color="auto"/>
            <w:left w:val="none" w:sz="0" w:space="0" w:color="auto"/>
            <w:bottom w:val="none" w:sz="0" w:space="0" w:color="auto"/>
            <w:right w:val="none" w:sz="0" w:space="0" w:color="auto"/>
          </w:divBdr>
          <w:divsChild>
            <w:div w:id="447504397">
              <w:marLeft w:val="0"/>
              <w:marRight w:val="0"/>
              <w:marTop w:val="0"/>
              <w:marBottom w:val="0"/>
              <w:divBdr>
                <w:top w:val="none" w:sz="0" w:space="0" w:color="auto"/>
                <w:left w:val="none" w:sz="0" w:space="0" w:color="auto"/>
                <w:bottom w:val="none" w:sz="0" w:space="0" w:color="auto"/>
                <w:right w:val="none" w:sz="0" w:space="0" w:color="auto"/>
              </w:divBdr>
              <w:divsChild>
                <w:div w:id="1117993235">
                  <w:marLeft w:val="0"/>
                  <w:marRight w:val="0"/>
                  <w:marTop w:val="0"/>
                  <w:marBottom w:val="150"/>
                  <w:divBdr>
                    <w:top w:val="none" w:sz="0" w:space="0" w:color="auto"/>
                    <w:left w:val="none" w:sz="0" w:space="0" w:color="auto"/>
                    <w:bottom w:val="none" w:sz="0" w:space="0" w:color="auto"/>
                    <w:right w:val="none" w:sz="0" w:space="0" w:color="auto"/>
                  </w:divBdr>
                </w:div>
                <w:div w:id="923076439">
                  <w:marLeft w:val="0"/>
                  <w:marRight w:val="0"/>
                  <w:marTop w:val="0"/>
                  <w:marBottom w:val="150"/>
                  <w:divBdr>
                    <w:top w:val="none" w:sz="0" w:space="0" w:color="auto"/>
                    <w:left w:val="none" w:sz="0" w:space="0" w:color="auto"/>
                    <w:bottom w:val="none" w:sz="0" w:space="0" w:color="auto"/>
                    <w:right w:val="none" w:sz="0" w:space="0" w:color="auto"/>
                  </w:divBdr>
                </w:div>
              </w:divsChild>
            </w:div>
            <w:div w:id="1984234880">
              <w:marLeft w:val="750"/>
              <w:marRight w:val="0"/>
              <w:marTop w:val="0"/>
              <w:marBottom w:val="150"/>
              <w:divBdr>
                <w:top w:val="none" w:sz="0" w:space="0" w:color="auto"/>
                <w:left w:val="none" w:sz="0" w:space="0" w:color="auto"/>
                <w:bottom w:val="none" w:sz="0" w:space="0" w:color="auto"/>
                <w:right w:val="none" w:sz="0" w:space="0" w:color="auto"/>
              </w:divBdr>
            </w:div>
            <w:div w:id="1979147545">
              <w:marLeft w:val="0"/>
              <w:marRight w:val="0"/>
              <w:marTop w:val="0"/>
              <w:marBottom w:val="150"/>
              <w:divBdr>
                <w:top w:val="none" w:sz="0" w:space="0" w:color="auto"/>
                <w:left w:val="none" w:sz="0" w:space="0" w:color="auto"/>
                <w:bottom w:val="none" w:sz="0" w:space="0" w:color="auto"/>
                <w:right w:val="none" w:sz="0" w:space="0" w:color="auto"/>
              </w:divBdr>
            </w:div>
            <w:div w:id="615601178">
              <w:marLeft w:val="0"/>
              <w:marRight w:val="0"/>
              <w:marTop w:val="0"/>
              <w:marBottom w:val="150"/>
              <w:divBdr>
                <w:top w:val="none" w:sz="0" w:space="0" w:color="auto"/>
                <w:left w:val="none" w:sz="0" w:space="0" w:color="auto"/>
                <w:bottom w:val="none" w:sz="0" w:space="0" w:color="auto"/>
                <w:right w:val="none" w:sz="0" w:space="0" w:color="auto"/>
              </w:divBdr>
            </w:div>
            <w:div w:id="102498360">
              <w:marLeft w:val="0"/>
              <w:marRight w:val="0"/>
              <w:marTop w:val="0"/>
              <w:marBottom w:val="150"/>
              <w:divBdr>
                <w:top w:val="none" w:sz="0" w:space="0" w:color="auto"/>
                <w:left w:val="none" w:sz="0" w:space="0" w:color="auto"/>
                <w:bottom w:val="none" w:sz="0" w:space="0" w:color="auto"/>
                <w:right w:val="none" w:sz="0" w:space="0" w:color="auto"/>
              </w:divBdr>
            </w:div>
            <w:div w:id="1688099720">
              <w:marLeft w:val="0"/>
              <w:marRight w:val="0"/>
              <w:marTop w:val="0"/>
              <w:marBottom w:val="150"/>
              <w:divBdr>
                <w:top w:val="none" w:sz="0" w:space="0" w:color="auto"/>
                <w:left w:val="none" w:sz="0" w:space="0" w:color="auto"/>
                <w:bottom w:val="none" w:sz="0" w:space="0" w:color="auto"/>
                <w:right w:val="none" w:sz="0" w:space="0" w:color="auto"/>
              </w:divBdr>
            </w:div>
            <w:div w:id="174616405">
              <w:marLeft w:val="0"/>
              <w:marRight w:val="0"/>
              <w:marTop w:val="0"/>
              <w:marBottom w:val="150"/>
              <w:divBdr>
                <w:top w:val="none" w:sz="0" w:space="0" w:color="auto"/>
                <w:left w:val="none" w:sz="0" w:space="0" w:color="auto"/>
                <w:bottom w:val="none" w:sz="0" w:space="0" w:color="auto"/>
                <w:right w:val="none" w:sz="0" w:space="0" w:color="auto"/>
              </w:divBdr>
            </w:div>
            <w:div w:id="638729213">
              <w:marLeft w:val="0"/>
              <w:marRight w:val="0"/>
              <w:marTop w:val="0"/>
              <w:marBottom w:val="150"/>
              <w:divBdr>
                <w:top w:val="none" w:sz="0" w:space="0" w:color="auto"/>
                <w:left w:val="none" w:sz="0" w:space="0" w:color="auto"/>
                <w:bottom w:val="none" w:sz="0" w:space="0" w:color="auto"/>
                <w:right w:val="none" w:sz="0" w:space="0" w:color="auto"/>
              </w:divBdr>
            </w:div>
            <w:div w:id="2134472403">
              <w:marLeft w:val="0"/>
              <w:marRight w:val="0"/>
              <w:marTop w:val="0"/>
              <w:marBottom w:val="150"/>
              <w:divBdr>
                <w:top w:val="none" w:sz="0" w:space="0" w:color="auto"/>
                <w:left w:val="none" w:sz="0" w:space="0" w:color="auto"/>
                <w:bottom w:val="none" w:sz="0" w:space="0" w:color="auto"/>
                <w:right w:val="none" w:sz="0" w:space="0" w:color="auto"/>
              </w:divBdr>
            </w:div>
            <w:div w:id="797145844">
              <w:marLeft w:val="0"/>
              <w:marRight w:val="0"/>
              <w:marTop w:val="0"/>
              <w:marBottom w:val="150"/>
              <w:divBdr>
                <w:top w:val="none" w:sz="0" w:space="0" w:color="auto"/>
                <w:left w:val="none" w:sz="0" w:space="0" w:color="auto"/>
                <w:bottom w:val="none" w:sz="0" w:space="0" w:color="auto"/>
                <w:right w:val="none" w:sz="0" w:space="0" w:color="auto"/>
              </w:divBdr>
            </w:div>
            <w:div w:id="265693150">
              <w:marLeft w:val="0"/>
              <w:marRight w:val="0"/>
              <w:marTop w:val="0"/>
              <w:marBottom w:val="150"/>
              <w:divBdr>
                <w:top w:val="none" w:sz="0" w:space="0" w:color="auto"/>
                <w:left w:val="none" w:sz="0" w:space="0" w:color="auto"/>
                <w:bottom w:val="none" w:sz="0" w:space="0" w:color="auto"/>
                <w:right w:val="none" w:sz="0" w:space="0" w:color="auto"/>
              </w:divBdr>
            </w:div>
            <w:div w:id="99953278">
              <w:marLeft w:val="0"/>
              <w:marRight w:val="0"/>
              <w:marTop w:val="0"/>
              <w:marBottom w:val="150"/>
              <w:divBdr>
                <w:top w:val="none" w:sz="0" w:space="0" w:color="auto"/>
                <w:left w:val="none" w:sz="0" w:space="0" w:color="auto"/>
                <w:bottom w:val="none" w:sz="0" w:space="0" w:color="auto"/>
                <w:right w:val="none" w:sz="0" w:space="0" w:color="auto"/>
              </w:divBdr>
            </w:div>
            <w:div w:id="1222323266">
              <w:marLeft w:val="0"/>
              <w:marRight w:val="0"/>
              <w:marTop w:val="0"/>
              <w:marBottom w:val="150"/>
              <w:divBdr>
                <w:top w:val="none" w:sz="0" w:space="0" w:color="auto"/>
                <w:left w:val="none" w:sz="0" w:space="0" w:color="auto"/>
                <w:bottom w:val="none" w:sz="0" w:space="0" w:color="auto"/>
                <w:right w:val="none" w:sz="0" w:space="0" w:color="auto"/>
              </w:divBdr>
            </w:div>
            <w:div w:id="1785928035">
              <w:marLeft w:val="750"/>
              <w:marRight w:val="0"/>
              <w:marTop w:val="0"/>
              <w:marBottom w:val="150"/>
              <w:divBdr>
                <w:top w:val="none" w:sz="0" w:space="0" w:color="auto"/>
                <w:left w:val="none" w:sz="0" w:space="0" w:color="auto"/>
                <w:bottom w:val="none" w:sz="0" w:space="0" w:color="auto"/>
                <w:right w:val="none" w:sz="0" w:space="0" w:color="auto"/>
              </w:divBdr>
            </w:div>
            <w:div w:id="73551474">
              <w:marLeft w:val="750"/>
              <w:marRight w:val="0"/>
              <w:marTop w:val="0"/>
              <w:marBottom w:val="150"/>
              <w:divBdr>
                <w:top w:val="none" w:sz="0" w:space="0" w:color="auto"/>
                <w:left w:val="none" w:sz="0" w:space="0" w:color="auto"/>
                <w:bottom w:val="none" w:sz="0" w:space="0" w:color="auto"/>
                <w:right w:val="none" w:sz="0" w:space="0" w:color="auto"/>
              </w:divBdr>
            </w:div>
            <w:div w:id="265045577">
              <w:marLeft w:val="750"/>
              <w:marRight w:val="0"/>
              <w:marTop w:val="0"/>
              <w:marBottom w:val="150"/>
              <w:divBdr>
                <w:top w:val="none" w:sz="0" w:space="0" w:color="auto"/>
                <w:left w:val="none" w:sz="0" w:space="0" w:color="auto"/>
                <w:bottom w:val="none" w:sz="0" w:space="0" w:color="auto"/>
                <w:right w:val="none" w:sz="0" w:space="0" w:color="auto"/>
              </w:divBdr>
            </w:div>
            <w:div w:id="2116631874">
              <w:marLeft w:val="750"/>
              <w:marRight w:val="0"/>
              <w:marTop w:val="0"/>
              <w:marBottom w:val="150"/>
              <w:divBdr>
                <w:top w:val="none" w:sz="0" w:space="0" w:color="auto"/>
                <w:left w:val="none" w:sz="0" w:space="0" w:color="auto"/>
                <w:bottom w:val="none" w:sz="0" w:space="0" w:color="auto"/>
                <w:right w:val="none" w:sz="0" w:space="0" w:color="auto"/>
              </w:divBdr>
            </w:div>
          </w:divsChild>
        </w:div>
        <w:div w:id="1227230597">
          <w:marLeft w:val="0"/>
          <w:marRight w:val="0"/>
          <w:marTop w:val="0"/>
          <w:marBottom w:val="300"/>
          <w:divBdr>
            <w:top w:val="none" w:sz="0" w:space="0" w:color="auto"/>
            <w:left w:val="none" w:sz="0" w:space="0" w:color="auto"/>
            <w:bottom w:val="none" w:sz="0" w:space="0" w:color="auto"/>
            <w:right w:val="none" w:sz="0" w:space="0" w:color="auto"/>
          </w:divBdr>
          <w:divsChild>
            <w:div w:id="2007512365">
              <w:marLeft w:val="0"/>
              <w:marRight w:val="0"/>
              <w:marTop w:val="0"/>
              <w:marBottom w:val="0"/>
              <w:divBdr>
                <w:top w:val="none" w:sz="0" w:space="0" w:color="auto"/>
                <w:left w:val="none" w:sz="0" w:space="0" w:color="auto"/>
                <w:bottom w:val="none" w:sz="0" w:space="0" w:color="auto"/>
                <w:right w:val="none" w:sz="0" w:space="0" w:color="auto"/>
              </w:divBdr>
              <w:divsChild>
                <w:div w:id="326057738">
                  <w:marLeft w:val="0"/>
                  <w:marRight w:val="0"/>
                  <w:marTop w:val="0"/>
                  <w:marBottom w:val="150"/>
                  <w:divBdr>
                    <w:top w:val="none" w:sz="0" w:space="0" w:color="auto"/>
                    <w:left w:val="none" w:sz="0" w:space="0" w:color="auto"/>
                    <w:bottom w:val="none" w:sz="0" w:space="0" w:color="auto"/>
                    <w:right w:val="none" w:sz="0" w:space="0" w:color="auto"/>
                  </w:divBdr>
                </w:div>
                <w:div w:id="1861157818">
                  <w:marLeft w:val="0"/>
                  <w:marRight w:val="0"/>
                  <w:marTop w:val="0"/>
                  <w:marBottom w:val="150"/>
                  <w:divBdr>
                    <w:top w:val="none" w:sz="0" w:space="0" w:color="auto"/>
                    <w:left w:val="none" w:sz="0" w:space="0" w:color="auto"/>
                    <w:bottom w:val="none" w:sz="0" w:space="0" w:color="auto"/>
                    <w:right w:val="none" w:sz="0" w:space="0" w:color="auto"/>
                  </w:divBdr>
                </w:div>
              </w:divsChild>
            </w:div>
            <w:div w:id="153300028">
              <w:marLeft w:val="750"/>
              <w:marRight w:val="0"/>
              <w:marTop w:val="0"/>
              <w:marBottom w:val="150"/>
              <w:divBdr>
                <w:top w:val="none" w:sz="0" w:space="0" w:color="auto"/>
                <w:left w:val="none" w:sz="0" w:space="0" w:color="auto"/>
                <w:bottom w:val="none" w:sz="0" w:space="0" w:color="auto"/>
                <w:right w:val="none" w:sz="0" w:space="0" w:color="auto"/>
              </w:divBdr>
            </w:div>
            <w:div w:id="465704753">
              <w:marLeft w:val="750"/>
              <w:marRight w:val="0"/>
              <w:marTop w:val="0"/>
              <w:marBottom w:val="150"/>
              <w:divBdr>
                <w:top w:val="none" w:sz="0" w:space="0" w:color="auto"/>
                <w:left w:val="none" w:sz="0" w:space="0" w:color="auto"/>
                <w:bottom w:val="none" w:sz="0" w:space="0" w:color="auto"/>
                <w:right w:val="none" w:sz="0" w:space="0" w:color="auto"/>
              </w:divBdr>
            </w:div>
          </w:divsChild>
        </w:div>
        <w:div w:id="79839380">
          <w:marLeft w:val="0"/>
          <w:marRight w:val="0"/>
          <w:marTop w:val="0"/>
          <w:marBottom w:val="300"/>
          <w:divBdr>
            <w:top w:val="none" w:sz="0" w:space="0" w:color="auto"/>
            <w:left w:val="none" w:sz="0" w:space="0" w:color="auto"/>
            <w:bottom w:val="none" w:sz="0" w:space="0" w:color="auto"/>
            <w:right w:val="none" w:sz="0" w:space="0" w:color="auto"/>
          </w:divBdr>
          <w:divsChild>
            <w:div w:id="1754549638">
              <w:marLeft w:val="0"/>
              <w:marRight w:val="0"/>
              <w:marTop w:val="0"/>
              <w:marBottom w:val="0"/>
              <w:divBdr>
                <w:top w:val="none" w:sz="0" w:space="0" w:color="auto"/>
                <w:left w:val="none" w:sz="0" w:space="0" w:color="auto"/>
                <w:bottom w:val="none" w:sz="0" w:space="0" w:color="auto"/>
                <w:right w:val="none" w:sz="0" w:space="0" w:color="auto"/>
              </w:divBdr>
              <w:divsChild>
                <w:div w:id="808979026">
                  <w:marLeft w:val="0"/>
                  <w:marRight w:val="0"/>
                  <w:marTop w:val="0"/>
                  <w:marBottom w:val="150"/>
                  <w:divBdr>
                    <w:top w:val="none" w:sz="0" w:space="0" w:color="auto"/>
                    <w:left w:val="none" w:sz="0" w:space="0" w:color="auto"/>
                    <w:bottom w:val="none" w:sz="0" w:space="0" w:color="auto"/>
                    <w:right w:val="none" w:sz="0" w:space="0" w:color="auto"/>
                  </w:divBdr>
                </w:div>
                <w:div w:id="2021278277">
                  <w:marLeft w:val="0"/>
                  <w:marRight w:val="0"/>
                  <w:marTop w:val="0"/>
                  <w:marBottom w:val="150"/>
                  <w:divBdr>
                    <w:top w:val="none" w:sz="0" w:space="0" w:color="auto"/>
                    <w:left w:val="none" w:sz="0" w:space="0" w:color="auto"/>
                    <w:bottom w:val="none" w:sz="0" w:space="0" w:color="auto"/>
                    <w:right w:val="none" w:sz="0" w:space="0" w:color="auto"/>
                  </w:divBdr>
                </w:div>
              </w:divsChild>
            </w:div>
            <w:div w:id="769159620">
              <w:marLeft w:val="750"/>
              <w:marRight w:val="0"/>
              <w:marTop w:val="0"/>
              <w:marBottom w:val="150"/>
              <w:divBdr>
                <w:top w:val="none" w:sz="0" w:space="0" w:color="auto"/>
                <w:left w:val="none" w:sz="0" w:space="0" w:color="auto"/>
                <w:bottom w:val="none" w:sz="0" w:space="0" w:color="auto"/>
                <w:right w:val="none" w:sz="0" w:space="0" w:color="auto"/>
              </w:divBdr>
            </w:div>
            <w:div w:id="204804034">
              <w:marLeft w:val="750"/>
              <w:marRight w:val="0"/>
              <w:marTop w:val="0"/>
              <w:marBottom w:val="150"/>
              <w:divBdr>
                <w:top w:val="none" w:sz="0" w:space="0" w:color="auto"/>
                <w:left w:val="none" w:sz="0" w:space="0" w:color="auto"/>
                <w:bottom w:val="none" w:sz="0" w:space="0" w:color="auto"/>
                <w:right w:val="none" w:sz="0" w:space="0" w:color="auto"/>
              </w:divBdr>
            </w:div>
          </w:divsChild>
        </w:div>
        <w:div w:id="1555314918">
          <w:marLeft w:val="0"/>
          <w:marRight w:val="0"/>
          <w:marTop w:val="0"/>
          <w:marBottom w:val="300"/>
          <w:divBdr>
            <w:top w:val="none" w:sz="0" w:space="0" w:color="auto"/>
            <w:left w:val="none" w:sz="0" w:space="0" w:color="auto"/>
            <w:bottom w:val="none" w:sz="0" w:space="0" w:color="auto"/>
            <w:right w:val="none" w:sz="0" w:space="0" w:color="auto"/>
          </w:divBdr>
          <w:divsChild>
            <w:div w:id="1980457354">
              <w:marLeft w:val="0"/>
              <w:marRight w:val="0"/>
              <w:marTop w:val="0"/>
              <w:marBottom w:val="0"/>
              <w:divBdr>
                <w:top w:val="none" w:sz="0" w:space="0" w:color="auto"/>
                <w:left w:val="none" w:sz="0" w:space="0" w:color="auto"/>
                <w:bottom w:val="none" w:sz="0" w:space="0" w:color="auto"/>
                <w:right w:val="none" w:sz="0" w:space="0" w:color="auto"/>
              </w:divBdr>
              <w:divsChild>
                <w:div w:id="432022134">
                  <w:marLeft w:val="0"/>
                  <w:marRight w:val="0"/>
                  <w:marTop w:val="0"/>
                  <w:marBottom w:val="150"/>
                  <w:divBdr>
                    <w:top w:val="none" w:sz="0" w:space="0" w:color="auto"/>
                    <w:left w:val="none" w:sz="0" w:space="0" w:color="auto"/>
                    <w:bottom w:val="none" w:sz="0" w:space="0" w:color="auto"/>
                    <w:right w:val="none" w:sz="0" w:space="0" w:color="auto"/>
                  </w:divBdr>
                </w:div>
                <w:div w:id="144976685">
                  <w:marLeft w:val="0"/>
                  <w:marRight w:val="0"/>
                  <w:marTop w:val="0"/>
                  <w:marBottom w:val="150"/>
                  <w:divBdr>
                    <w:top w:val="none" w:sz="0" w:space="0" w:color="auto"/>
                    <w:left w:val="none" w:sz="0" w:space="0" w:color="auto"/>
                    <w:bottom w:val="none" w:sz="0" w:space="0" w:color="auto"/>
                    <w:right w:val="none" w:sz="0" w:space="0" w:color="auto"/>
                  </w:divBdr>
                </w:div>
              </w:divsChild>
            </w:div>
            <w:div w:id="2104108166">
              <w:marLeft w:val="750"/>
              <w:marRight w:val="0"/>
              <w:marTop w:val="0"/>
              <w:marBottom w:val="150"/>
              <w:divBdr>
                <w:top w:val="none" w:sz="0" w:space="0" w:color="auto"/>
                <w:left w:val="none" w:sz="0" w:space="0" w:color="auto"/>
                <w:bottom w:val="none" w:sz="0" w:space="0" w:color="auto"/>
                <w:right w:val="none" w:sz="0" w:space="0" w:color="auto"/>
              </w:divBdr>
            </w:div>
            <w:div w:id="933249737">
              <w:marLeft w:val="750"/>
              <w:marRight w:val="0"/>
              <w:marTop w:val="0"/>
              <w:marBottom w:val="150"/>
              <w:divBdr>
                <w:top w:val="none" w:sz="0" w:space="0" w:color="auto"/>
                <w:left w:val="none" w:sz="0" w:space="0" w:color="auto"/>
                <w:bottom w:val="none" w:sz="0" w:space="0" w:color="auto"/>
                <w:right w:val="none" w:sz="0" w:space="0" w:color="auto"/>
              </w:divBdr>
            </w:div>
            <w:div w:id="677512014">
              <w:marLeft w:val="750"/>
              <w:marRight w:val="0"/>
              <w:marTop w:val="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B86FF3183D1463ABE07F3C01AE1DC56"/>
        <w:category>
          <w:name w:val="Obecné"/>
          <w:gallery w:val="placeholder"/>
        </w:category>
        <w:types>
          <w:type w:val="bbPlcHdr"/>
        </w:types>
        <w:behaviors>
          <w:behavior w:val="content"/>
        </w:behaviors>
        <w:guid w:val="{598A691C-50C9-49AE-A162-2739ED0E08D4}"/>
      </w:docPartPr>
      <w:docPartBody>
        <w:p w:rsidR="00000000" w:rsidRDefault="00036623" w:rsidP="00036623">
          <w:pPr>
            <w:pStyle w:val="9B86FF3183D1463ABE07F3C01AE1DC56"/>
          </w:pPr>
          <w:r>
            <w:rPr>
              <w:rFonts w:asciiTheme="majorHAnsi" w:eastAsiaTheme="majorEastAsia" w:hAnsiTheme="majorHAnsi" w:cstheme="majorBidi"/>
              <w:sz w:val="32"/>
              <w:szCs w:val="32"/>
            </w:rPr>
            <w:t>[Titul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623"/>
    <w:rsid w:val="00036623"/>
    <w:rsid w:val="00BF4BD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9B86FF3183D1463ABE07F3C01AE1DC56">
    <w:name w:val="9B86FF3183D1463ABE07F3C01AE1DC56"/>
    <w:rsid w:val="0003662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9B86FF3183D1463ABE07F3C01AE1DC56">
    <w:name w:val="9B86FF3183D1463ABE07F3C01AE1DC56"/>
    <w:rsid w:val="000366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91387-1172-4B22-A185-4EAFF852D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1263</Words>
  <Characters>7453</Characters>
  <Application>Microsoft Office Word</Application>
  <DocSecurity>0</DocSecurity>
  <Lines>62</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Vávra: AON1 – Analyse eines Verwaltungstextes</dc:title>
  <dc:creator>Vavra</dc:creator>
  <cp:lastModifiedBy>Vavra</cp:lastModifiedBy>
  <cp:revision>2</cp:revision>
  <cp:lastPrinted>2019-06-13T16:14:00Z</cp:lastPrinted>
  <dcterms:created xsi:type="dcterms:W3CDTF">2019-06-13T15:48:00Z</dcterms:created>
  <dcterms:modified xsi:type="dcterms:W3CDTF">2019-06-13T16:16:00Z</dcterms:modified>
</cp:coreProperties>
</file>