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9BE" w:rsidRPr="00274D35" w:rsidRDefault="00C779BE" w:rsidP="00C779BE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6C31"/>
          <w:sz w:val="36"/>
          <w:szCs w:val="36"/>
          <w:lang w:val="de-DE" w:eastAsia="cs-CZ"/>
        </w:rPr>
      </w:pPr>
      <w:bookmarkStart w:id="0" w:name="_GoBack"/>
      <w:bookmarkEnd w:id="0"/>
      <w:r w:rsidRPr="00274D35">
        <w:rPr>
          <w:rFonts w:ascii="Times New Roman" w:eastAsia="Times New Roman" w:hAnsi="Times New Roman" w:cs="Times New Roman"/>
          <w:b/>
          <w:bCs/>
          <w:color w:val="006C31"/>
          <w:sz w:val="36"/>
          <w:szCs w:val="36"/>
          <w:lang w:val="de-DE" w:eastAsia="cs-CZ"/>
        </w:rPr>
        <w:t xml:space="preserve">ABC der </w:t>
      </w:r>
      <w:r w:rsidR="002A76E4" w:rsidRPr="00274D35">
        <w:rPr>
          <w:rFonts w:ascii="Times New Roman" w:eastAsia="Times New Roman" w:hAnsi="Times New Roman" w:cs="Times New Roman"/>
          <w:b/>
          <w:bCs/>
          <w:color w:val="006C31"/>
          <w:sz w:val="36"/>
          <w:szCs w:val="36"/>
          <w:lang w:val="de-DE" w:eastAsia="cs-CZ"/>
        </w:rPr>
        <w:t>Buchführung</w:t>
      </w:r>
      <w:r w:rsidRPr="00274D35">
        <w:rPr>
          <w:rFonts w:ascii="Times New Roman" w:eastAsia="Times New Roman" w:hAnsi="Times New Roman" w:cs="Times New Roman"/>
          <w:b/>
          <w:bCs/>
          <w:color w:val="006C31"/>
          <w:sz w:val="36"/>
          <w:szCs w:val="36"/>
          <w:lang w:val="de-DE" w:eastAsia="cs-CZ"/>
        </w:rPr>
        <w:t xml:space="preserve"> </w:t>
      </w:r>
    </w:p>
    <w:p w:rsidR="002F0ECA" w:rsidRDefault="00C779BE" w:rsidP="00C779BE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2A76E4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die Summe aller Vermögensposten einer Bilanz. Sie wird in Anlagevermögen, Umlaufvermögen, aktive Rechnungsabgrenzungsposten, aktive latente Steuern und den aktiven Unterschiedsbetrag aus der Vermögensrechnung untergegliedert.</w:t>
      </w:r>
    </w:p>
    <w:p w:rsidR="00C779BE" w:rsidRDefault="00C779BE" w:rsidP="00C779BE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9B1E8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</w:t>
      </w:r>
      <w:r w:rsidR="002A76E4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dieses Prinzip besagt, dass keine Buchung ohne Beleg durchgeführt werden darf; ggf. ist ein Eigenbeleg zu erstellen</w:t>
      </w:r>
      <w:r w:rsidR="006B4419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  <w:r w:rsidR="009B1E8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</w:t>
      </w:r>
    </w:p>
    <w:p w:rsidR="006B4419" w:rsidRDefault="006B4419" w:rsidP="00C779BE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2A76E4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die Summe der Einzahlungen, die zugleich einen Ertrag darstellen (= liquiditätswirksame Erträge), abzüglich der Summe aller Auszahlungen, die zugleich einen Aufwand darstellen (= liquiditätswirksame Aufwendungen)</w:t>
      </w:r>
      <w:r w:rsidR="0032631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6B4419" w:rsidRDefault="006B4419" w:rsidP="00C779BE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CD4D17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diese eG ist eine deutsche Genossenschaft für Steuerberater, Wirtschaftsprüfer und Rechtsanwälte mit Sitz in Nürnberg</w:t>
      </w:r>
      <w:r w:rsidR="005E17F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  <w:r w:rsidR="00CD4D17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Die Abkürzung steht für „</w:t>
      </w:r>
      <w:r w:rsidR="00CD4D17" w:rsidRPr="00CD4D17">
        <w:rPr>
          <w:rFonts w:ascii="Times New Roman" w:eastAsia="Times New Roman" w:hAnsi="Times New Roman" w:cs="Times New Roman"/>
          <w:sz w:val="24"/>
          <w:szCs w:val="24"/>
          <w:u w:val="single"/>
          <w:lang w:val="de-DE" w:eastAsia="cs-CZ"/>
        </w:rPr>
        <w:t>Date</w:t>
      </w:r>
      <w:r w:rsidR="00CD4D17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n</w:t>
      </w:r>
      <w:r w:rsidR="00CD4D17" w:rsidRPr="00CD4D17">
        <w:rPr>
          <w:rFonts w:ascii="Times New Roman" w:eastAsia="Times New Roman" w:hAnsi="Times New Roman" w:cs="Times New Roman"/>
          <w:sz w:val="24"/>
          <w:szCs w:val="24"/>
          <w:u w:val="single"/>
          <w:lang w:val="de-DE" w:eastAsia="cs-CZ"/>
        </w:rPr>
        <w:t>v</w:t>
      </w:r>
      <w:r w:rsidR="00CD4D17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erarbeitung und Dienstleistung für den steuerberatenden Beruf eG“.</w:t>
      </w:r>
    </w:p>
    <w:p w:rsidR="006B4419" w:rsidRDefault="006B4419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 w:rsidRPr="00EF1140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6337D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die Aufstellung der Aktiva und Passiva eines Unternehmens zu Beginn der Geschäftstätigkeit.</w:t>
      </w:r>
    </w:p>
    <w:p w:rsidR="00EF1140" w:rsidRDefault="00EF1140" w:rsidP="004B330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6337D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die Ansprüche eines Gläubigers gegenüber einem bestimmten Schuldner auf Geld oder sonstige Leistungen. Sie sind Bestandteil des Umlaufvermögens und daher der Aktivseite der Bilanz zuzuordnen</w:t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EF1140" w:rsidRDefault="00EF1140" w:rsidP="004B330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6337D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die </w:t>
      </w:r>
      <w:r w:rsidR="00CD4D17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Abkürzung für </w:t>
      </w:r>
      <w:r w:rsidR="00CD4D17" w:rsidRPr="00CD4D17">
        <w:rPr>
          <w:rFonts w:ascii="Times New Roman" w:eastAsia="Times New Roman" w:hAnsi="Times New Roman" w:cs="Times New Roman"/>
          <w:sz w:val="24"/>
          <w:szCs w:val="24"/>
          <w:u w:val="single"/>
          <w:lang w:val="de-DE" w:eastAsia="cs-CZ"/>
        </w:rPr>
        <w:t>G</w:t>
      </w:r>
      <w:r w:rsidR="00CD4D17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ewinn- </w:t>
      </w:r>
      <w:r w:rsidR="00CD4D17" w:rsidRPr="00CD4D17">
        <w:rPr>
          <w:rFonts w:ascii="Times New Roman" w:eastAsia="Times New Roman" w:hAnsi="Times New Roman" w:cs="Times New Roman"/>
          <w:sz w:val="24"/>
          <w:szCs w:val="24"/>
          <w:u w:val="single"/>
          <w:lang w:val="de-DE" w:eastAsia="cs-CZ"/>
        </w:rPr>
        <w:t>u</w:t>
      </w:r>
      <w:r w:rsidR="00CD4D17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nd </w:t>
      </w:r>
      <w:r w:rsidR="00CD4D17" w:rsidRPr="00CD4D17">
        <w:rPr>
          <w:rFonts w:ascii="Times New Roman" w:eastAsia="Times New Roman" w:hAnsi="Times New Roman" w:cs="Times New Roman"/>
          <w:sz w:val="24"/>
          <w:szCs w:val="24"/>
          <w:u w:val="single"/>
          <w:lang w:val="de-DE" w:eastAsia="cs-CZ"/>
        </w:rPr>
        <w:t>V</w:t>
      </w:r>
      <w:r w:rsidR="00CD4D17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erlustrechnung</w:t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EF1140" w:rsidRDefault="00EF1140" w:rsidP="004B330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701D39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die rechte Seite eines Buchungskontos. Bei einem Vermögenskonto wird durch die Habenbuchung eine Vermögensminderung repräsentiert.</w:t>
      </w:r>
    </w:p>
    <w:p w:rsidR="00F23161" w:rsidRDefault="00F23161" w:rsidP="004B330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701D39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nicht physische, nicht fassbare Güter, die nicht monetär sind, wie z. B. Rechte, Patente, Konzessionen und Lizenzen, die im dauerhaften Besitz des Unternehmens sind</w:t>
      </w:r>
      <w:r w:rsidR="0041204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F23161" w:rsidRDefault="00F23161" w:rsidP="004B330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701D39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der Nettogewinn nach Steuern</w:t>
      </w:r>
      <w:r w:rsidR="00200BBC" w:rsidRPr="00200BBC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  <w:r w:rsidR="00701D39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Bezeichnet am Ende der GuV den Periodenerfolg des Unternehmens.</w:t>
      </w:r>
    </w:p>
    <w:p w:rsidR="00F23161" w:rsidRDefault="00F23161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E30B83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die </w:t>
      </w:r>
      <w:r w:rsidR="00701D39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Verbindlichkeiten mit einer Laufzeit von weniger als einem Jahr</w:t>
      </w:r>
      <w:r w:rsidR="00B308E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186212" w:rsidRDefault="00E30B83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= die Barliquidität; mathematisch = (liquide Mittel / kurzfristiges Fremdkapital) x 100</w:t>
      </w:r>
    </w:p>
    <w:p w:rsidR="00186212" w:rsidRDefault="00186212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E30B83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die Aufforderung eines Gläubigers an einen Schuldner, die geschuldete Leistung zu erbringen</w:t>
      </w:r>
      <w:r w:rsidR="0069159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186212" w:rsidRDefault="00186212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E30B83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die Verbindlichkeiten aus Krediten oder Anleihen abzüglich des Kassenbestands, der Guthaben bei den Kreditinstituten und der kurzfristig </w:t>
      </w:r>
      <w:proofErr w:type="spellStart"/>
      <w:r w:rsidR="00E30B83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veräußerbaren</w:t>
      </w:r>
      <w:proofErr w:type="spellEnd"/>
      <w:r w:rsidR="00E30B83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Wertpapiere</w:t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186212" w:rsidRDefault="00186212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484626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noch nicht bezahlte Rechnungen</w:t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186212" w:rsidRDefault="00186212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E30B83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die auf der Passivseite der Bilanz ausgewiesenen finanziellen Mittel, d.h. die Summe des Kapitaleinsatzes (Eigen- und Fremdkapital) zur Finanzierung der Vermögenspositionen.</w:t>
      </w:r>
    </w:p>
    <w:p w:rsidR="001F31CB" w:rsidRDefault="001A1533" w:rsidP="00665898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 w:rsidRPr="001F31CB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633C47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eine Konsolidierungsform bei Gemeinschaftsunternehmen (Joint Ventures)</w:t>
      </w:r>
      <w:r w:rsidR="001F31CB" w:rsidRPr="001F31CB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  <w:r w:rsidR="00633C47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Es wird die Höhe des Beteiligungsprozentsatzes berücksichtigt, den die Muttergesellschaft hält.</w:t>
      </w:r>
      <w:r w:rsidR="001F31CB" w:rsidRPr="001F31CB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</w:t>
      </w:r>
    </w:p>
    <w:p w:rsidR="001A1533" w:rsidRPr="001F31CB" w:rsidRDefault="001A1533" w:rsidP="00665898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 w:rsidRPr="001F31CB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633C47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der vertraglich vereinbarte Preisnachlass, z. B. für bestimmte Abnahmemengen</w:t>
      </w:r>
      <w:r w:rsidR="000F222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  <w:r w:rsidR="00633C47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Er stellt eine Erlösschmälerung dar.</w:t>
      </w:r>
    </w:p>
    <w:p w:rsidR="001A1533" w:rsidRDefault="00454797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=</w:t>
      </w:r>
      <w:r w:rsidR="00AC096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</w:t>
      </w:r>
      <w:r w:rsidR="00633C47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die linke Seite eines Buchungskontos.</w:t>
      </w:r>
    </w:p>
    <w:p w:rsidR="00454797" w:rsidRDefault="00454797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633C47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die Erklärung eines unabhängigen Steuerberaters oder Wirtschaftsprüfers, die bestätigt, dass der Jahresabschluss einer Gesellschaft den gesetzlichen Vorschriften entspricht.</w:t>
      </w:r>
    </w:p>
    <w:p w:rsidR="00454797" w:rsidRDefault="00AC0968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=</w:t>
      </w:r>
      <w:r w:rsidR="006337D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der erste Ertragsposten in der GuV-Rechnung; </w:t>
      </w:r>
      <w:r w:rsidR="006337D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6337D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6337D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6337D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6337D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6337D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6337D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6337D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6337D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  <w:t>mathematisch = verkaufte Menge x Verkaufspreis pro Stück</w:t>
      </w:r>
    </w:p>
    <w:p w:rsidR="00454797" w:rsidRDefault="00454797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633C47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die Lagerbestände an Roh-, Hilfs- und Betriebsstoffen, Halbfabrikaten und Fertigerzeugnissen</w:t>
      </w:r>
      <w:r w:rsidR="0061489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sowie Handelswaren, die zum Verbrauch oder zur Veräußerung bestimmt sind</w:t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  <w:r w:rsidR="0061489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Sie werden in der Bilanz auf der Aktivseite unter dem Umlaufvermögen ausgewiesen.</w:t>
      </w:r>
    </w:p>
    <w:p w:rsidR="00936B06" w:rsidRPr="004001D2" w:rsidRDefault="00454797" w:rsidP="001E1C19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814" w:hanging="1814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 w:rsidRPr="004001D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61489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der um die Vorleistungen verminderte Gesamtwert, den ein Unternehmen für seine Abnehmer schafft; mathematisch = Umsatz – Vorleistungen; auf Englisch </w:t>
      </w:r>
      <w:proofErr w:type="spellStart"/>
      <w:r w:rsidR="0061489F" w:rsidRPr="0061489F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>value</w:t>
      </w:r>
      <w:proofErr w:type="spellEnd"/>
      <w:r w:rsidR="0061489F" w:rsidRPr="0061489F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 xml:space="preserve"> </w:t>
      </w:r>
      <w:proofErr w:type="spellStart"/>
      <w:r w:rsidR="0061489F" w:rsidRPr="0061489F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>added</w:t>
      </w:r>
      <w:proofErr w:type="spellEnd"/>
      <w:r w:rsidR="005B4A48" w:rsidRPr="004001D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  <w:r w:rsidR="00AC0968" w:rsidRPr="004001D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AC0968" w:rsidRPr="004001D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61489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61489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61489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61489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61489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61489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  <w:r w:rsidR="00AC0968" w:rsidRPr="004001D2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 xml:space="preserve">Und was ist Z? Definieren Sie! </w:t>
      </w:r>
      <w:r w:rsidR="00AC0968" w:rsidRPr="00AC0968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sym w:font="Wingdings" w:char="F04A"/>
      </w:r>
    </w:p>
    <w:sectPr w:rsidR="00936B06" w:rsidRPr="004001D2" w:rsidSect="00454797">
      <w:headerReference w:type="default" r:id="rId8"/>
      <w:pgSz w:w="11906" w:h="16838"/>
      <w:pgMar w:top="1077" w:right="851" w:bottom="680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63C" w:rsidRDefault="006C663C" w:rsidP="00035719">
      <w:pPr>
        <w:spacing w:after="0" w:line="240" w:lineRule="auto"/>
      </w:pPr>
      <w:r>
        <w:separator/>
      </w:r>
    </w:p>
  </w:endnote>
  <w:endnote w:type="continuationSeparator" w:id="0">
    <w:p w:rsidR="006C663C" w:rsidRDefault="006C663C" w:rsidP="00035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63C" w:rsidRDefault="006C663C" w:rsidP="00035719">
      <w:pPr>
        <w:spacing w:after="0" w:line="240" w:lineRule="auto"/>
      </w:pPr>
      <w:r>
        <w:separator/>
      </w:r>
    </w:p>
  </w:footnote>
  <w:footnote w:type="continuationSeparator" w:id="0">
    <w:p w:rsidR="006C663C" w:rsidRDefault="006C663C" w:rsidP="00035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="Times New Roman" w:hAnsi="Times New Roman" w:cs="Times New Roman"/>
        <w:bCs/>
        <w:sz w:val="28"/>
        <w:szCs w:val="28"/>
        <w:lang w:val="de-DE" w:eastAsia="cs-CZ"/>
      </w:rPr>
      <w:alias w:val="Název"/>
      <w:id w:val="77738743"/>
      <w:placeholder>
        <w:docPart w:val="8F75621B56DE43BC908C5F154AC26EB5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035719" w:rsidRPr="00035719" w:rsidRDefault="00035719">
        <w:pPr>
          <w:pStyle w:val="Zhlav"/>
          <w:pBdr>
            <w:bottom w:val="thickThinSmallGap" w:sz="24" w:space="1" w:color="823B0B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="Times New Roman" w:eastAsia="Times New Roman" w:hAnsi="Times New Roman" w:cs="Times New Roman"/>
            <w:bCs/>
            <w:sz w:val="28"/>
            <w:szCs w:val="28"/>
            <w:lang w:val="de-DE" w:eastAsia="cs-CZ"/>
          </w:rPr>
          <w:t xml:space="preserve">KPN1: </w:t>
        </w:r>
        <w:r w:rsidRPr="00035719">
          <w:rPr>
            <w:rFonts w:ascii="Times New Roman" w:eastAsia="Times New Roman" w:hAnsi="Times New Roman" w:cs="Times New Roman"/>
            <w:bCs/>
            <w:sz w:val="28"/>
            <w:szCs w:val="28"/>
            <w:lang w:val="de-DE" w:eastAsia="cs-CZ"/>
          </w:rPr>
          <w:t xml:space="preserve">nach Prof. Dr. Jörg </w:t>
        </w:r>
        <w:proofErr w:type="spellStart"/>
        <w:r w:rsidRPr="00035719">
          <w:rPr>
            <w:rFonts w:ascii="Times New Roman" w:eastAsia="Times New Roman" w:hAnsi="Times New Roman" w:cs="Times New Roman"/>
            <w:bCs/>
            <w:sz w:val="28"/>
            <w:szCs w:val="28"/>
            <w:lang w:val="de-DE" w:eastAsia="cs-CZ"/>
          </w:rPr>
          <w:t>Wölt</w:t>
        </w:r>
        <w:r>
          <w:rPr>
            <w:rFonts w:ascii="Times New Roman" w:eastAsia="Times New Roman" w:hAnsi="Times New Roman" w:cs="Times New Roman"/>
            <w:bCs/>
            <w:sz w:val="28"/>
            <w:szCs w:val="28"/>
            <w:lang w:val="de-DE" w:eastAsia="cs-CZ"/>
          </w:rPr>
          <w:t>je</w:t>
        </w:r>
        <w:proofErr w:type="spellEnd"/>
        <w:r>
          <w:rPr>
            <w:rFonts w:ascii="Times New Roman" w:eastAsia="Times New Roman" w:hAnsi="Times New Roman" w:cs="Times New Roman"/>
            <w:bCs/>
            <w:sz w:val="28"/>
            <w:szCs w:val="28"/>
            <w:lang w:val="de-DE" w:eastAsia="cs-CZ"/>
          </w:rPr>
          <w:t xml:space="preserve"> erstellte Dr. </w:t>
        </w:r>
        <w:proofErr w:type="spellStart"/>
        <w:r>
          <w:rPr>
            <w:rFonts w:ascii="Times New Roman" w:eastAsia="Times New Roman" w:hAnsi="Times New Roman" w:cs="Times New Roman"/>
            <w:bCs/>
            <w:sz w:val="28"/>
            <w:szCs w:val="28"/>
            <w:lang w:val="de-DE" w:eastAsia="cs-CZ"/>
          </w:rPr>
          <w:t>Zdeněk</w:t>
        </w:r>
        <w:proofErr w:type="spellEnd"/>
        <w:r>
          <w:rPr>
            <w:rFonts w:ascii="Times New Roman" w:eastAsia="Times New Roman" w:hAnsi="Times New Roman" w:cs="Times New Roman"/>
            <w:bCs/>
            <w:sz w:val="28"/>
            <w:szCs w:val="28"/>
            <w:lang w:val="de-DE" w:eastAsia="cs-CZ"/>
          </w:rPr>
          <w:t xml:space="preserve"> </w:t>
        </w:r>
        <w:proofErr w:type="spellStart"/>
        <w:r>
          <w:rPr>
            <w:rFonts w:ascii="Times New Roman" w:eastAsia="Times New Roman" w:hAnsi="Times New Roman" w:cs="Times New Roman"/>
            <w:bCs/>
            <w:sz w:val="28"/>
            <w:szCs w:val="28"/>
            <w:lang w:val="de-DE" w:eastAsia="cs-CZ"/>
          </w:rPr>
          <w:t>Vávra</w:t>
        </w:r>
        <w:proofErr w:type="spellEnd"/>
      </w:p>
    </w:sdtContent>
  </w:sdt>
  <w:p w:rsidR="00035719" w:rsidRDefault="0003571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E2D10"/>
    <w:multiLevelType w:val="hybridMultilevel"/>
    <w:tmpl w:val="637CF3C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C559C5"/>
    <w:multiLevelType w:val="hybridMultilevel"/>
    <w:tmpl w:val="118A3840"/>
    <w:lvl w:ilvl="0" w:tplc="92F4052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32428DE"/>
    <w:multiLevelType w:val="hybridMultilevel"/>
    <w:tmpl w:val="2B8E373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ECA"/>
    <w:rsid w:val="00035719"/>
    <w:rsid w:val="000A24AC"/>
    <w:rsid w:val="000C105C"/>
    <w:rsid w:val="000F2221"/>
    <w:rsid w:val="00171DEE"/>
    <w:rsid w:val="00186212"/>
    <w:rsid w:val="001A1533"/>
    <w:rsid w:val="001F31CB"/>
    <w:rsid w:val="00200BBC"/>
    <w:rsid w:val="00274D35"/>
    <w:rsid w:val="00277FFB"/>
    <w:rsid w:val="002A76E4"/>
    <w:rsid w:val="002E643A"/>
    <w:rsid w:val="002F0ECA"/>
    <w:rsid w:val="0032631F"/>
    <w:rsid w:val="004001D2"/>
    <w:rsid w:val="004070D5"/>
    <w:rsid w:val="00412045"/>
    <w:rsid w:val="00454797"/>
    <w:rsid w:val="00484626"/>
    <w:rsid w:val="00541743"/>
    <w:rsid w:val="005B4A48"/>
    <w:rsid w:val="005E17F5"/>
    <w:rsid w:val="0061489F"/>
    <w:rsid w:val="006337D1"/>
    <w:rsid w:val="00633C47"/>
    <w:rsid w:val="00691598"/>
    <w:rsid w:val="006B05A5"/>
    <w:rsid w:val="006B4419"/>
    <w:rsid w:val="006C663C"/>
    <w:rsid w:val="00701D39"/>
    <w:rsid w:val="00936B06"/>
    <w:rsid w:val="009A5B83"/>
    <w:rsid w:val="009B1E88"/>
    <w:rsid w:val="00A81FFF"/>
    <w:rsid w:val="00A94897"/>
    <w:rsid w:val="00AB0BA6"/>
    <w:rsid w:val="00AC0968"/>
    <w:rsid w:val="00B308E2"/>
    <w:rsid w:val="00C779BE"/>
    <w:rsid w:val="00CA0412"/>
    <w:rsid w:val="00CD4D17"/>
    <w:rsid w:val="00DA7D7C"/>
    <w:rsid w:val="00DF5737"/>
    <w:rsid w:val="00E30B83"/>
    <w:rsid w:val="00E87ECE"/>
    <w:rsid w:val="00EC2195"/>
    <w:rsid w:val="00EF1140"/>
    <w:rsid w:val="00F2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2F0E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F0EC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F0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wischenueberschrift1">
    <w:name w:val="zwischenueberschrift1"/>
    <w:basedOn w:val="Standardnpsmoodstavce"/>
    <w:rsid w:val="002F0ECA"/>
    <w:rPr>
      <w:rFonts w:ascii="Arial" w:hAnsi="Arial" w:cs="Arial" w:hint="default"/>
      <w:b/>
      <w:bCs/>
      <w:strike w:val="0"/>
      <w:dstrike w:val="0"/>
      <w:color w:val="000000"/>
      <w:sz w:val="21"/>
      <w:szCs w:val="21"/>
      <w:u w:val="none"/>
      <w:effect w:val="none"/>
    </w:rPr>
  </w:style>
  <w:style w:type="character" w:customStyle="1" w:styleId="hervorgehoben1">
    <w:name w:val="hervorgehoben1"/>
    <w:basedOn w:val="Standardnpsmoodstavce"/>
    <w:rsid w:val="002F0ECA"/>
    <w:rPr>
      <w:rFonts w:ascii="Arial" w:hAnsi="Arial" w:cs="Arial" w:hint="default"/>
      <w:b/>
      <w:bCs/>
      <w:i w:val="0"/>
      <w:iCs w:val="0"/>
      <w:smallCaps w:val="0"/>
      <w:strike w:val="0"/>
      <w:dstrike w:val="0"/>
      <w:color w:val="000000"/>
      <w:sz w:val="21"/>
      <w:szCs w:val="21"/>
      <w:u w:val="none"/>
      <w:effect w:val="none"/>
    </w:rPr>
  </w:style>
  <w:style w:type="paragraph" w:styleId="Odstavecseseznamem">
    <w:name w:val="List Paragraph"/>
    <w:basedOn w:val="Normln"/>
    <w:uiPriority w:val="34"/>
    <w:qFormat/>
    <w:rsid w:val="000A24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1D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1DEE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semiHidden/>
    <w:unhideWhenUsed/>
    <w:rsid w:val="00200BBC"/>
    <w:rPr>
      <w:strike w:val="0"/>
      <w:dstrike w:val="0"/>
      <w:color w:val="0C5798"/>
      <w:u w:val="none"/>
      <w:effect w:val="none"/>
    </w:rPr>
  </w:style>
  <w:style w:type="paragraph" w:styleId="Zhlav">
    <w:name w:val="header"/>
    <w:basedOn w:val="Normln"/>
    <w:link w:val="ZhlavChar"/>
    <w:uiPriority w:val="99"/>
    <w:unhideWhenUsed/>
    <w:rsid w:val="000357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5719"/>
  </w:style>
  <w:style w:type="paragraph" w:styleId="Zpat">
    <w:name w:val="footer"/>
    <w:basedOn w:val="Normln"/>
    <w:link w:val="ZpatChar"/>
    <w:uiPriority w:val="99"/>
    <w:unhideWhenUsed/>
    <w:rsid w:val="000357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57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2F0E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F0EC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F0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wischenueberschrift1">
    <w:name w:val="zwischenueberschrift1"/>
    <w:basedOn w:val="Standardnpsmoodstavce"/>
    <w:rsid w:val="002F0ECA"/>
    <w:rPr>
      <w:rFonts w:ascii="Arial" w:hAnsi="Arial" w:cs="Arial" w:hint="default"/>
      <w:b/>
      <w:bCs/>
      <w:strike w:val="0"/>
      <w:dstrike w:val="0"/>
      <w:color w:val="000000"/>
      <w:sz w:val="21"/>
      <w:szCs w:val="21"/>
      <w:u w:val="none"/>
      <w:effect w:val="none"/>
    </w:rPr>
  </w:style>
  <w:style w:type="character" w:customStyle="1" w:styleId="hervorgehoben1">
    <w:name w:val="hervorgehoben1"/>
    <w:basedOn w:val="Standardnpsmoodstavce"/>
    <w:rsid w:val="002F0ECA"/>
    <w:rPr>
      <w:rFonts w:ascii="Arial" w:hAnsi="Arial" w:cs="Arial" w:hint="default"/>
      <w:b/>
      <w:bCs/>
      <w:i w:val="0"/>
      <w:iCs w:val="0"/>
      <w:smallCaps w:val="0"/>
      <w:strike w:val="0"/>
      <w:dstrike w:val="0"/>
      <w:color w:val="000000"/>
      <w:sz w:val="21"/>
      <w:szCs w:val="21"/>
      <w:u w:val="none"/>
      <w:effect w:val="none"/>
    </w:rPr>
  </w:style>
  <w:style w:type="paragraph" w:styleId="Odstavecseseznamem">
    <w:name w:val="List Paragraph"/>
    <w:basedOn w:val="Normln"/>
    <w:uiPriority w:val="34"/>
    <w:qFormat/>
    <w:rsid w:val="000A24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1D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1DEE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semiHidden/>
    <w:unhideWhenUsed/>
    <w:rsid w:val="00200BBC"/>
    <w:rPr>
      <w:strike w:val="0"/>
      <w:dstrike w:val="0"/>
      <w:color w:val="0C5798"/>
      <w:u w:val="none"/>
      <w:effect w:val="none"/>
    </w:rPr>
  </w:style>
  <w:style w:type="paragraph" w:styleId="Zhlav">
    <w:name w:val="header"/>
    <w:basedOn w:val="Normln"/>
    <w:link w:val="ZhlavChar"/>
    <w:uiPriority w:val="99"/>
    <w:unhideWhenUsed/>
    <w:rsid w:val="000357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5719"/>
  </w:style>
  <w:style w:type="paragraph" w:styleId="Zpat">
    <w:name w:val="footer"/>
    <w:basedOn w:val="Normln"/>
    <w:link w:val="ZpatChar"/>
    <w:uiPriority w:val="99"/>
    <w:unhideWhenUsed/>
    <w:rsid w:val="000357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57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639118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85346">
          <w:marLeft w:val="0"/>
          <w:marRight w:val="0"/>
          <w:marTop w:val="0"/>
          <w:marBottom w:val="0"/>
          <w:divBdr>
            <w:top w:val="single" w:sz="6" w:space="0" w:color="C0C0C0"/>
            <w:left w:val="single" w:sz="6" w:space="0" w:color="C0C0C0"/>
            <w:bottom w:val="single" w:sz="6" w:space="4" w:color="C0C0C0"/>
            <w:right w:val="single" w:sz="6" w:space="0" w:color="C0C0C0"/>
          </w:divBdr>
          <w:divsChild>
            <w:div w:id="1676108180">
              <w:marLeft w:val="60"/>
              <w:marRight w:val="3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63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8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40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75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156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78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542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F75621B56DE43BC908C5F154AC26EB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834BC49-1CF9-4795-949B-26D80F84B0DA}"/>
      </w:docPartPr>
      <w:docPartBody>
        <w:p w:rsidR="00000000" w:rsidRDefault="00EF78E7" w:rsidP="00EF78E7">
          <w:pPr>
            <w:pStyle w:val="8F75621B56DE43BC908C5F154AC26EB5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8E7"/>
    <w:rsid w:val="00E673E5"/>
    <w:rsid w:val="00EF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8F75621B56DE43BC908C5F154AC26EB5">
    <w:name w:val="8F75621B56DE43BC908C5F154AC26EB5"/>
    <w:rsid w:val="00EF78E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8F75621B56DE43BC908C5F154AC26EB5">
    <w:name w:val="8F75621B56DE43BC908C5F154AC26EB5"/>
    <w:rsid w:val="00EF78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469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KPN1: nach Prof. Dr. Jörg Wöltje erstellte Dr. Zdeněk Vávra</dc:title>
  <dc:creator>ZMČ Vávra Zdeněk, Ing. (ÚMČ Praha 10)</dc:creator>
  <cp:lastModifiedBy>Zdeněk</cp:lastModifiedBy>
  <cp:revision>3</cp:revision>
  <cp:lastPrinted>2015-03-31T15:20:00Z</cp:lastPrinted>
  <dcterms:created xsi:type="dcterms:W3CDTF">2020-08-18T16:36:00Z</dcterms:created>
  <dcterms:modified xsi:type="dcterms:W3CDTF">2020-08-18T16:38:00Z</dcterms:modified>
</cp:coreProperties>
</file>