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2AA0" w:rsidRDefault="00694084" w:rsidP="0089400A">
      <w:pPr>
        <w:spacing w:after="0" w:line="240" w:lineRule="auto"/>
        <w:jc w:val="center"/>
        <w:rPr>
          <w:rFonts w:ascii="Times New Roman" w:eastAsia="Times New Roman" w:hAnsi="Times New Roman" w:cs="Times New Roman"/>
          <w:b/>
          <w:bCs/>
          <w:color w:val="00B050"/>
          <w:sz w:val="32"/>
          <w:szCs w:val="32"/>
          <w:lang w:val="de-DE"/>
        </w:rPr>
      </w:pPr>
      <w:r w:rsidRPr="00694084">
        <w:rPr>
          <w:rFonts w:ascii="Times New Roman" w:eastAsia="Times New Roman" w:hAnsi="Times New Roman" w:cs="Times New Roman"/>
          <w:b/>
          <w:color w:val="00B050"/>
          <w:sz w:val="32"/>
          <w:szCs w:val="32"/>
        </w:rPr>
        <w:t xml:space="preserve">KPN1: </w:t>
      </w:r>
      <w:r w:rsidRPr="00694084">
        <w:rPr>
          <w:rFonts w:ascii="Times New Roman" w:eastAsia="Times New Roman" w:hAnsi="Times New Roman" w:cs="Times New Roman"/>
          <w:b/>
          <w:bCs/>
          <w:color w:val="00B050"/>
          <w:sz w:val="32"/>
          <w:szCs w:val="32"/>
          <w:lang w:val="de-DE"/>
        </w:rPr>
        <w:t>Wie die Deutschen ihr Geld anlegen</w:t>
      </w:r>
    </w:p>
    <w:p w:rsidR="000A2AA0" w:rsidRDefault="000A2AA0" w:rsidP="00694084">
      <w:pPr>
        <w:spacing w:after="0" w:line="240" w:lineRule="auto"/>
        <w:jc w:val="center"/>
        <w:rPr>
          <w:rFonts w:ascii="Times New Roman" w:eastAsia="Times New Roman" w:hAnsi="Times New Roman" w:cs="Times New Roman"/>
          <w:b/>
          <w:bCs/>
          <w:color w:val="00B050"/>
          <w:sz w:val="32"/>
          <w:szCs w:val="32"/>
          <w:lang w:val="de-DE"/>
        </w:rPr>
      </w:pPr>
      <w:r>
        <w:rPr>
          <w:rFonts w:ascii="Times New Roman" w:eastAsia="Times New Roman" w:hAnsi="Times New Roman" w:cs="Times New Roman"/>
          <w:noProof/>
          <w:sz w:val="24"/>
          <w:szCs w:val="24"/>
        </w:rPr>
        <w:drawing>
          <wp:anchor distT="0" distB="0" distL="114300" distR="114300" simplePos="0" relativeHeight="251667456" behindDoc="0" locked="0" layoutInCell="1" allowOverlap="1" wp14:anchorId="5631D2B5" wp14:editId="506D5DF8">
            <wp:simplePos x="0" y="0"/>
            <wp:positionH relativeFrom="column">
              <wp:posOffset>1192909</wp:posOffset>
            </wp:positionH>
            <wp:positionV relativeFrom="paragraph">
              <wp:posOffset>91259</wp:posOffset>
            </wp:positionV>
            <wp:extent cx="3859821" cy="1282535"/>
            <wp:effectExtent l="19050" t="19050" r="26670" b="1333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eld - Sparbuch.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76675" cy="1288135"/>
                    </a:xfrm>
                    <a:prstGeom prst="rect">
                      <a:avLst/>
                    </a:prstGeom>
                    <a:ln>
                      <a:solidFill>
                        <a:schemeClr val="bg1">
                          <a:lumMod val="65000"/>
                        </a:schemeClr>
                      </a:solidFill>
                    </a:ln>
                  </pic:spPr>
                </pic:pic>
              </a:graphicData>
            </a:graphic>
            <wp14:sizeRelH relativeFrom="margin">
              <wp14:pctWidth>0</wp14:pctWidth>
            </wp14:sizeRelH>
            <wp14:sizeRelV relativeFrom="margin">
              <wp14:pctHeight>0</wp14:pctHeight>
            </wp14:sizeRelV>
          </wp:anchor>
        </w:drawing>
      </w:r>
    </w:p>
    <w:p w:rsidR="000A2AA0" w:rsidRDefault="000A2AA0" w:rsidP="00694084">
      <w:pPr>
        <w:spacing w:after="0" w:line="240" w:lineRule="auto"/>
        <w:jc w:val="center"/>
        <w:rPr>
          <w:rFonts w:ascii="Times New Roman" w:eastAsia="Times New Roman" w:hAnsi="Times New Roman" w:cs="Times New Roman"/>
          <w:b/>
          <w:bCs/>
          <w:color w:val="00B050"/>
          <w:sz w:val="32"/>
          <w:szCs w:val="32"/>
          <w:lang w:val="de-DE"/>
        </w:rPr>
      </w:pPr>
    </w:p>
    <w:p w:rsidR="000A2AA0" w:rsidRDefault="000A2AA0" w:rsidP="00694084">
      <w:pPr>
        <w:spacing w:after="0" w:line="240" w:lineRule="auto"/>
        <w:jc w:val="center"/>
        <w:rPr>
          <w:rFonts w:ascii="Times New Roman" w:eastAsia="Times New Roman" w:hAnsi="Times New Roman" w:cs="Times New Roman"/>
          <w:b/>
          <w:bCs/>
          <w:color w:val="00B050"/>
          <w:sz w:val="32"/>
          <w:szCs w:val="32"/>
          <w:lang w:val="de-DE"/>
        </w:rPr>
      </w:pPr>
    </w:p>
    <w:p w:rsidR="000A2AA0" w:rsidRDefault="000A2AA0" w:rsidP="00694084">
      <w:pPr>
        <w:spacing w:after="0" w:line="240" w:lineRule="auto"/>
        <w:jc w:val="center"/>
        <w:rPr>
          <w:rFonts w:ascii="Times New Roman" w:eastAsia="Times New Roman" w:hAnsi="Times New Roman" w:cs="Times New Roman"/>
          <w:b/>
          <w:bCs/>
          <w:color w:val="00B050"/>
          <w:sz w:val="32"/>
          <w:szCs w:val="32"/>
          <w:lang w:val="de-DE"/>
        </w:rPr>
      </w:pPr>
    </w:p>
    <w:p w:rsidR="000A2AA0" w:rsidRDefault="000A2AA0" w:rsidP="00694084">
      <w:pPr>
        <w:spacing w:after="0" w:line="240" w:lineRule="auto"/>
        <w:jc w:val="center"/>
        <w:rPr>
          <w:rFonts w:ascii="Times New Roman" w:eastAsia="Times New Roman" w:hAnsi="Times New Roman" w:cs="Times New Roman"/>
          <w:b/>
          <w:bCs/>
          <w:color w:val="00B050"/>
          <w:sz w:val="32"/>
          <w:szCs w:val="32"/>
          <w:lang w:val="de-DE"/>
        </w:rPr>
      </w:pPr>
    </w:p>
    <w:p w:rsidR="000A2AA0" w:rsidRPr="00694084" w:rsidRDefault="000A2AA0" w:rsidP="00694084">
      <w:pPr>
        <w:spacing w:after="0" w:line="240" w:lineRule="auto"/>
        <w:jc w:val="center"/>
        <w:rPr>
          <w:rFonts w:ascii="Times New Roman" w:eastAsia="Times New Roman" w:hAnsi="Times New Roman" w:cs="Times New Roman"/>
          <w:b/>
          <w:bCs/>
          <w:color w:val="00B050"/>
          <w:sz w:val="36"/>
          <w:szCs w:val="36"/>
          <w:lang w:val="de-DE"/>
        </w:rPr>
      </w:pP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 xml:space="preserve">Die Sparzinsen sind im Keller - doch die meisten Deutschen scheuen bei der Geldanlage das Risiko. Was tun die Menschen mit ihrem Geld? Ein Überblick: </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 xml:space="preserve">AKTIEN - Der Absturz der "Volksaktie" Telekom und das Platzen der New-Economy-Blase um die Jahrtausendwende haben viele Kleinanleger nachhaltig verschreckt. Zwar erhöhte sich die Zahl der Besitzer von Aktien und/oder Aktienfondsanteilen in Deutschland im vergangenen Jahr um 560 000 auf gut neun Millionen. Das ist der höchste Stand seit 2012. Dennoch sind nur 14 Prozent der über 14-Jährigen am Aktienmarkt engagiert - und damit deutlich weniger als in anderen Ländern. </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 xml:space="preserve">BARGELD und BANKEINLAGEN - Bargeld und Einlagen bei Banken sind nach den Bundesbank-Zahlen nach wie vor der größte Posten des Geldvermögens der privaten Haushalte. Tagesgeldkonten als Parkplatz für Liquidität stehen nach wie vor hoch im Kurs, obwohl sie kaum noch Zinsen abwerfen. </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BAUSPAREN - Die Deutschen sind eifrige Bausparer. 2015 gab es knapp 30 Millionen Bausparvert</w:t>
      </w:r>
      <w:r w:rsidR="00FA068F">
        <w:rPr>
          <w:rFonts w:ascii="Times New Roman" w:eastAsia="Times New Roman" w:hAnsi="Times New Roman" w:cs="Times New Roman"/>
          <w:sz w:val="24"/>
          <w:szCs w:val="24"/>
          <w:lang w:val="de-DE"/>
        </w:rPr>
        <w:t>räge in Deutschland. Damit kommt</w:t>
      </w:r>
      <w:r w:rsidRPr="00C35093">
        <w:rPr>
          <w:rFonts w:ascii="Times New Roman" w:eastAsia="Times New Roman" w:hAnsi="Times New Roman" w:cs="Times New Roman"/>
          <w:sz w:val="24"/>
          <w:szCs w:val="24"/>
          <w:lang w:val="de-DE"/>
        </w:rPr>
        <w:t xml:space="preserve"> auf jeden zweiten Haushalt mindestens ein Vertrag. </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GOLD - Privatleute in Deutschland besitzen mittlerweile die Rekordmenge von 8672 Tonnen des Edelmetalls - davon gut die Hälfte (4705 Tonnen) in Form von Barren und Münzen, knapp 4000 Tonnen sind Schmuck. Von 2014 bis 2016 wuchs der Goldschatz der Privathaushalte demnach um</w:t>
      </w:r>
      <w:r w:rsidR="00FA068F">
        <w:rPr>
          <w:rFonts w:ascii="Times New Roman" w:eastAsia="Times New Roman" w:hAnsi="Times New Roman" w:cs="Times New Roman"/>
          <w:sz w:val="24"/>
          <w:szCs w:val="24"/>
          <w:lang w:val="de-DE"/>
        </w:rPr>
        <w:t xml:space="preserve"> 477 Tonnen. Drei Viertel (2014 </w:t>
      </w:r>
      <w:r w:rsidRPr="00C35093">
        <w:rPr>
          <w:rFonts w:ascii="Times New Roman" w:eastAsia="Times New Roman" w:hAnsi="Times New Roman" w:cs="Times New Roman"/>
          <w:sz w:val="24"/>
          <w:szCs w:val="24"/>
          <w:lang w:val="de-DE"/>
        </w:rPr>
        <w:t xml:space="preserve"> 67 Prozent) der erwachsenen Bundesbürger besitzen der Studie zufolge Gold in Form von Schmuck, Barren, Münzen oder Wertpapieren. </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IMMOBILIEN - Die niedrigen Hypothekenzinsen heizen die Nachfrage nach Häusern und Wohnungen an. In den ersten neun Monaten 2016 wurden so viele Wohnungen genehmigt wie seit 1999 nicht mehr. Auch viele Investoren spekulieren auf weitere Preissteigerungen und investieren in "Betongold". Noch sieht die Bundesbank keine gefährlichen Übertreibungen am deutschen Immobilienmarkt. Allerdings verlocken die niedrigen Zinsen auch zum Schuldenmachen. Die Bundesbank warnt vor einem Schock bei steigenden Zinsen: "Finanzierungen, die unter den aktuellen Rahmenbedingungen angemessen erscheinen, könnten sich dann als nicht nachhaltig herausstellen."</w:t>
      </w:r>
    </w:p>
    <w:p w:rsidR="00887785" w:rsidRPr="00C35093"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 xml:space="preserve">LEBENSVERSICHERUNGEN - 91 Millionen Lebensversicherungsverträge zählte der Gesamtverband der deutschen Versicherungswirtschaft (GDV) Ende vergangenen Jahres bundesweit. Damit hat rein rechnerisch jeder Bundesbürger mindestens eine Lebensversicherung - ein Altersvorsorge-Klassiker. </w:t>
      </w:r>
    </w:p>
    <w:p w:rsidR="00887785" w:rsidRDefault="00887785" w:rsidP="00887785">
      <w:pPr>
        <w:spacing w:before="100" w:beforeAutospacing="1" w:after="100" w:afterAutospacing="1" w:line="240" w:lineRule="auto"/>
        <w:rPr>
          <w:rFonts w:ascii="Times New Roman" w:eastAsia="Times New Roman" w:hAnsi="Times New Roman" w:cs="Times New Roman"/>
          <w:sz w:val="24"/>
          <w:szCs w:val="24"/>
          <w:lang w:val="de-DE"/>
        </w:rPr>
      </w:pPr>
      <w:r w:rsidRPr="00C35093">
        <w:rPr>
          <w:rFonts w:ascii="Times New Roman" w:eastAsia="Times New Roman" w:hAnsi="Times New Roman" w:cs="Times New Roman"/>
          <w:sz w:val="24"/>
          <w:szCs w:val="24"/>
          <w:lang w:val="de-DE"/>
        </w:rPr>
        <w:t xml:space="preserve">SPARBUCH - Das gute alte Sparbuch hat seinen Reiz bei den sicherheitsorientierten Deutschen trotz aktuell mickriger Zinsen keineswegs verloren. 44 Millionen Sparkonten zählten allein die seinerzeit 413 Sparkassen </w:t>
      </w:r>
      <w:r w:rsidR="00C35093">
        <w:rPr>
          <w:rFonts w:ascii="Times New Roman" w:eastAsia="Times New Roman" w:hAnsi="Times New Roman" w:cs="Times New Roman"/>
          <w:sz w:val="24"/>
          <w:szCs w:val="24"/>
          <w:lang w:val="de-DE"/>
        </w:rPr>
        <w:t>bundesweit zum Jahresende 2015.</w:t>
      </w:r>
    </w:p>
    <w:p w:rsidR="002247A4" w:rsidRPr="000A2AA0" w:rsidRDefault="000A2AA0">
      <w:pPr>
        <w:rPr>
          <w:rFonts w:ascii="Times New Roman" w:eastAsia="Times New Roman" w:hAnsi="Times New Roman" w:cs="Times New Roman"/>
          <w:b/>
          <w:sz w:val="24"/>
          <w:szCs w:val="24"/>
          <w:lang w:val="de-DE"/>
        </w:rPr>
      </w:pPr>
      <w:r w:rsidRPr="000A2AA0">
        <w:rPr>
          <w:rFonts w:ascii="Times New Roman" w:eastAsia="Times New Roman" w:hAnsi="Times New Roman" w:cs="Times New Roman"/>
          <w:b/>
          <w:sz w:val="24"/>
          <w:szCs w:val="24"/>
          <w:lang w:val="de-DE"/>
        </w:rPr>
        <w:t xml:space="preserve">Aufgabe: Fassen Sie die Vor- und Nachteile von einzelnen </w:t>
      </w:r>
      <w:r w:rsidR="00DA7425">
        <w:rPr>
          <w:rFonts w:ascii="Times New Roman" w:eastAsia="Times New Roman" w:hAnsi="Times New Roman" w:cs="Times New Roman"/>
          <w:b/>
          <w:sz w:val="24"/>
          <w:szCs w:val="24"/>
          <w:lang w:val="de-DE"/>
        </w:rPr>
        <w:t>Gelda</w:t>
      </w:r>
      <w:r w:rsidRPr="000A2AA0">
        <w:rPr>
          <w:rFonts w:ascii="Times New Roman" w:eastAsia="Times New Roman" w:hAnsi="Times New Roman" w:cs="Times New Roman"/>
          <w:b/>
          <w:sz w:val="24"/>
          <w:szCs w:val="24"/>
          <w:lang w:val="de-DE"/>
        </w:rPr>
        <w:t>nlagen</w:t>
      </w:r>
      <w:r>
        <w:rPr>
          <w:rFonts w:ascii="Times New Roman" w:eastAsia="Times New Roman" w:hAnsi="Times New Roman" w:cs="Times New Roman"/>
          <w:b/>
          <w:sz w:val="24"/>
          <w:szCs w:val="24"/>
          <w:lang w:val="de-DE"/>
        </w:rPr>
        <w:t xml:space="preserve"> zusammen</w:t>
      </w:r>
      <w:r w:rsidRPr="000A2AA0">
        <w:rPr>
          <w:rFonts w:ascii="Times New Roman" w:eastAsia="Times New Roman" w:hAnsi="Times New Roman" w:cs="Times New Roman"/>
          <w:b/>
          <w:sz w:val="24"/>
          <w:szCs w:val="24"/>
          <w:lang w:val="de-DE"/>
        </w:rPr>
        <w:t>.</w:t>
      </w:r>
      <w:r w:rsidR="0089400A">
        <w:rPr>
          <w:rFonts w:ascii="Times New Roman" w:eastAsia="Times New Roman" w:hAnsi="Times New Roman" w:cs="Times New Roman"/>
          <w:b/>
          <w:sz w:val="24"/>
          <w:szCs w:val="24"/>
          <w:lang w:val="de-DE"/>
        </w:rPr>
        <w:t xml:space="preserve"> Welche Tendenzen lassen sich seit 2016 bemerken? Recherchieren Sie, welche Geldanlagen 2023 in Deutschland dominieren.</w:t>
      </w:r>
      <w:bookmarkStart w:id="0" w:name="_GoBack"/>
      <w:bookmarkEnd w:id="0"/>
    </w:p>
    <w:sectPr w:rsidR="002247A4" w:rsidRPr="000A2AA0" w:rsidSect="000A2AA0">
      <w:headerReference w:type="default" r:id="rId7"/>
      <w:pgSz w:w="11906" w:h="16838"/>
      <w:pgMar w:top="113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497" w:rsidRDefault="00502497" w:rsidP="002247A4">
      <w:pPr>
        <w:spacing w:after="0" w:line="240" w:lineRule="auto"/>
      </w:pPr>
      <w:r>
        <w:separator/>
      </w:r>
    </w:p>
  </w:endnote>
  <w:endnote w:type="continuationSeparator" w:id="0">
    <w:p w:rsidR="00502497" w:rsidRDefault="00502497" w:rsidP="00224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497" w:rsidRDefault="00502497" w:rsidP="002247A4">
      <w:pPr>
        <w:spacing w:after="0" w:line="240" w:lineRule="auto"/>
      </w:pPr>
      <w:r>
        <w:separator/>
      </w:r>
    </w:p>
  </w:footnote>
  <w:footnote w:type="continuationSeparator" w:id="0">
    <w:p w:rsidR="00502497" w:rsidRDefault="00502497" w:rsidP="002247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0A" w:rsidRPr="0089400A" w:rsidRDefault="0089400A">
    <w:pPr>
      <w:pStyle w:val="Zhlav"/>
      <w:rPr>
        <w:b/>
        <w:sz w:val="24"/>
        <w:szCs w:val="24"/>
      </w:rPr>
    </w:pPr>
    <w:r w:rsidRPr="0089400A">
      <w:rPr>
        <w:b/>
        <w:sz w:val="24"/>
        <w:szCs w:val="24"/>
      </w:rPr>
      <w:t xml:space="preserve">KGS/KPN1: CW 09 </w:t>
    </w:r>
    <w:proofErr w:type="spellStart"/>
    <w:r w:rsidRPr="0089400A">
      <w:rPr>
        <w:b/>
        <w:sz w:val="24"/>
        <w:szCs w:val="24"/>
      </w:rPr>
      <w:t>Geld</w:t>
    </w:r>
    <w:proofErr w:type="spellEnd"/>
    <w:r w:rsidRPr="0089400A">
      <w:rPr>
        <w:b/>
        <w:sz w:val="24"/>
        <w:szCs w:val="24"/>
      </w:rPr>
      <w:t xml:space="preserve"> </w:t>
    </w:r>
    <w:proofErr w:type="spellStart"/>
    <w:r w:rsidRPr="0089400A">
      <w:rPr>
        <w:b/>
        <w:sz w:val="24"/>
        <w:szCs w:val="24"/>
      </w:rPr>
      <w:t>und</w:t>
    </w:r>
    <w:proofErr w:type="spellEnd"/>
    <w:r w:rsidRPr="0089400A">
      <w:rPr>
        <w:b/>
        <w:sz w:val="24"/>
        <w:szCs w:val="24"/>
      </w:rPr>
      <w:t xml:space="preserve"> </w:t>
    </w:r>
    <w:proofErr w:type="spellStart"/>
    <w:r w:rsidRPr="0089400A">
      <w:rPr>
        <w:b/>
        <w:sz w:val="24"/>
        <w:szCs w:val="24"/>
      </w:rPr>
      <w:t>Investieren</w:t>
    </w:r>
    <w:proofErr w:type="spellEnd"/>
  </w:p>
  <w:p w:rsidR="0089400A" w:rsidRDefault="0089400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785"/>
    <w:rsid w:val="0005159B"/>
    <w:rsid w:val="000A2AA0"/>
    <w:rsid w:val="00140726"/>
    <w:rsid w:val="001D703D"/>
    <w:rsid w:val="002247A4"/>
    <w:rsid w:val="0023552C"/>
    <w:rsid w:val="002628D5"/>
    <w:rsid w:val="002728C8"/>
    <w:rsid w:val="002A07F4"/>
    <w:rsid w:val="00371C0F"/>
    <w:rsid w:val="00386365"/>
    <w:rsid w:val="003D6FAF"/>
    <w:rsid w:val="00441B58"/>
    <w:rsid w:val="00487757"/>
    <w:rsid w:val="004A5DE3"/>
    <w:rsid w:val="00502497"/>
    <w:rsid w:val="00564B99"/>
    <w:rsid w:val="005C2C42"/>
    <w:rsid w:val="005D53A5"/>
    <w:rsid w:val="005E135B"/>
    <w:rsid w:val="00694084"/>
    <w:rsid w:val="00696C06"/>
    <w:rsid w:val="00783147"/>
    <w:rsid w:val="00814947"/>
    <w:rsid w:val="00887785"/>
    <w:rsid w:val="0089400A"/>
    <w:rsid w:val="009B63AE"/>
    <w:rsid w:val="00B37765"/>
    <w:rsid w:val="00C35093"/>
    <w:rsid w:val="00C45D9F"/>
    <w:rsid w:val="00CA45F1"/>
    <w:rsid w:val="00D47FC4"/>
    <w:rsid w:val="00DA7425"/>
    <w:rsid w:val="00DB24E2"/>
    <w:rsid w:val="00E77D52"/>
    <w:rsid w:val="00E82A30"/>
    <w:rsid w:val="00E8354C"/>
    <w:rsid w:val="00EA05F4"/>
    <w:rsid w:val="00EA54B4"/>
    <w:rsid w:val="00EC405E"/>
    <w:rsid w:val="00ED230B"/>
    <w:rsid w:val="00F85F90"/>
    <w:rsid w:val="00FA068F"/>
    <w:rsid w:val="00FC7E5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9352"/>
  <w15:docId w15:val="{DC905A26-470D-4FFA-883F-4261D8DC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88778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2">
    <w:name w:val="heading 2"/>
    <w:basedOn w:val="Normln"/>
    <w:link w:val="Nadpis2Char"/>
    <w:uiPriority w:val="9"/>
    <w:qFormat/>
    <w:rsid w:val="008877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87785"/>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887785"/>
    <w:rPr>
      <w:rFonts w:ascii="Times New Roman" w:eastAsia="Times New Roman" w:hAnsi="Times New Roman" w:cs="Times New Roman"/>
      <w:b/>
      <w:bCs/>
      <w:sz w:val="36"/>
      <w:szCs w:val="36"/>
      <w:lang w:eastAsia="cs-CZ"/>
    </w:rPr>
  </w:style>
  <w:style w:type="character" w:styleId="Siln">
    <w:name w:val="Strong"/>
    <w:basedOn w:val="Standardnpsmoodstavce"/>
    <w:uiPriority w:val="22"/>
    <w:qFormat/>
    <w:rsid w:val="00887785"/>
    <w:rPr>
      <w:b/>
      <w:bCs/>
    </w:rPr>
  </w:style>
  <w:style w:type="character" w:customStyle="1" w:styleId="authors">
    <w:name w:val="authors"/>
    <w:basedOn w:val="Standardnpsmoodstavce"/>
    <w:rsid w:val="00887785"/>
  </w:style>
  <w:style w:type="paragraph" w:styleId="Normlnweb">
    <w:name w:val="Normal (Web)"/>
    <w:basedOn w:val="Normln"/>
    <w:uiPriority w:val="99"/>
    <w:semiHidden/>
    <w:unhideWhenUsed/>
    <w:rsid w:val="0088778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2247A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247A4"/>
  </w:style>
  <w:style w:type="paragraph" w:styleId="Zpat">
    <w:name w:val="footer"/>
    <w:basedOn w:val="Normln"/>
    <w:link w:val="ZpatChar"/>
    <w:uiPriority w:val="99"/>
    <w:unhideWhenUsed/>
    <w:rsid w:val="002247A4"/>
    <w:pPr>
      <w:tabs>
        <w:tab w:val="center" w:pos="4536"/>
        <w:tab w:val="right" w:pos="9072"/>
      </w:tabs>
      <w:spacing w:after="0" w:line="240" w:lineRule="auto"/>
    </w:pPr>
  </w:style>
  <w:style w:type="character" w:customStyle="1" w:styleId="ZpatChar">
    <w:name w:val="Zápatí Char"/>
    <w:basedOn w:val="Standardnpsmoodstavce"/>
    <w:link w:val="Zpat"/>
    <w:uiPriority w:val="99"/>
    <w:rsid w:val="002247A4"/>
  </w:style>
  <w:style w:type="paragraph" w:styleId="Textbubliny">
    <w:name w:val="Balloon Text"/>
    <w:basedOn w:val="Normln"/>
    <w:link w:val="TextbublinyChar"/>
    <w:uiPriority w:val="99"/>
    <w:semiHidden/>
    <w:unhideWhenUsed/>
    <w:rsid w:val="000A2AA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2A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07485">
      <w:bodyDiv w:val="1"/>
      <w:marLeft w:val="0"/>
      <w:marRight w:val="0"/>
      <w:marTop w:val="0"/>
      <w:marBottom w:val="0"/>
      <w:divBdr>
        <w:top w:val="none" w:sz="0" w:space="0" w:color="auto"/>
        <w:left w:val="none" w:sz="0" w:space="0" w:color="auto"/>
        <w:bottom w:val="none" w:sz="0" w:space="0" w:color="auto"/>
        <w:right w:val="none" w:sz="0" w:space="0" w:color="auto"/>
      </w:divBdr>
      <w:divsChild>
        <w:div w:id="825366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2508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Zdeněk Vávra</cp:lastModifiedBy>
  <cp:revision>4</cp:revision>
  <cp:lastPrinted>2023-08-23T15:44:00Z</cp:lastPrinted>
  <dcterms:created xsi:type="dcterms:W3CDTF">2023-08-23T15:41:00Z</dcterms:created>
  <dcterms:modified xsi:type="dcterms:W3CDTF">2023-08-23T15:44:00Z</dcterms:modified>
</cp:coreProperties>
</file>