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9BE" w:rsidRDefault="00511D4F" w:rsidP="00C779BE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de-DE" w:eastAsia="cs-CZ"/>
        </w:rPr>
      </w:pPr>
      <w:r w:rsidRPr="00511D4F">
        <w:rPr>
          <w:rFonts w:ascii="Times New Roman" w:eastAsia="Times New Roman" w:hAnsi="Times New Roman" w:cs="Times New Roman"/>
          <w:b/>
          <w:bCs/>
          <w:sz w:val="36"/>
          <w:szCs w:val="36"/>
          <w:highlight w:val="cyan"/>
          <w:lang w:val="de-DE" w:eastAsia="cs-CZ"/>
        </w:rPr>
        <w:t xml:space="preserve">KPN2: </w:t>
      </w:r>
      <w:r w:rsidR="00C779BE" w:rsidRPr="00511D4F">
        <w:rPr>
          <w:rFonts w:ascii="Times New Roman" w:eastAsia="Times New Roman" w:hAnsi="Times New Roman" w:cs="Times New Roman"/>
          <w:b/>
          <w:bCs/>
          <w:sz w:val="36"/>
          <w:szCs w:val="36"/>
          <w:highlight w:val="cyan"/>
          <w:lang w:val="de-DE" w:eastAsia="cs-CZ"/>
        </w:rPr>
        <w:t xml:space="preserve">ABC der </w:t>
      </w:r>
      <w:r w:rsidR="002E643A" w:rsidRPr="00511D4F">
        <w:rPr>
          <w:rFonts w:ascii="Times New Roman" w:eastAsia="Times New Roman" w:hAnsi="Times New Roman" w:cs="Times New Roman"/>
          <w:b/>
          <w:bCs/>
          <w:sz w:val="36"/>
          <w:szCs w:val="36"/>
          <w:highlight w:val="cyan"/>
          <w:lang w:val="de-DE" w:eastAsia="cs-CZ"/>
        </w:rPr>
        <w:t>Investition und Kostenrechnung</w:t>
      </w:r>
      <w:r w:rsidR="00C779BE">
        <w:rPr>
          <w:rFonts w:ascii="Times New Roman" w:eastAsia="Times New Roman" w:hAnsi="Times New Roman" w:cs="Times New Roman"/>
          <w:b/>
          <w:bCs/>
          <w:sz w:val="36"/>
          <w:szCs w:val="36"/>
          <w:lang w:val="de-DE" w:eastAsia="cs-CZ"/>
        </w:rPr>
        <w:t xml:space="preserve"> </w:t>
      </w:r>
    </w:p>
    <w:p w:rsidR="002F0ECA" w:rsidRPr="00511D4F" w:rsidRDefault="00C779BE" w:rsidP="00C779BE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bCs/>
          <w:sz w:val="24"/>
          <w:szCs w:val="24"/>
          <w:lang w:val="de-DE" w:eastAsia="cs-CZ"/>
        </w:rPr>
        <w:t>(</w:t>
      </w:r>
      <w:r w:rsidR="00171DEE" w:rsidRPr="00511D4F">
        <w:rPr>
          <w:rFonts w:ascii="Times New Roman" w:eastAsia="Times New Roman" w:hAnsi="Times New Roman" w:cs="Times New Roman"/>
          <w:bCs/>
          <w:sz w:val="24"/>
          <w:szCs w:val="24"/>
          <w:lang w:val="de-DE" w:eastAsia="cs-CZ"/>
        </w:rPr>
        <w:t>nach</w:t>
      </w:r>
      <w:r w:rsidRPr="00511D4F">
        <w:rPr>
          <w:rFonts w:ascii="Times New Roman" w:eastAsia="Times New Roman" w:hAnsi="Times New Roman" w:cs="Times New Roman"/>
          <w:bCs/>
          <w:sz w:val="24"/>
          <w:szCs w:val="24"/>
          <w:lang w:val="de-DE" w:eastAsia="cs-CZ"/>
        </w:rPr>
        <w:t xml:space="preserve"> Prof. Dr. Jörg </w:t>
      </w:r>
      <w:proofErr w:type="spellStart"/>
      <w:r w:rsidRPr="00511D4F">
        <w:rPr>
          <w:rFonts w:ascii="Times New Roman" w:eastAsia="Times New Roman" w:hAnsi="Times New Roman" w:cs="Times New Roman"/>
          <w:bCs/>
          <w:sz w:val="24"/>
          <w:szCs w:val="24"/>
          <w:lang w:val="de-DE" w:eastAsia="cs-CZ"/>
        </w:rPr>
        <w:t>Wöltje</w:t>
      </w:r>
      <w:proofErr w:type="spellEnd"/>
      <w:r w:rsidRPr="00511D4F">
        <w:rPr>
          <w:rFonts w:ascii="Times New Roman" w:eastAsia="Times New Roman" w:hAnsi="Times New Roman" w:cs="Times New Roman"/>
          <w:bCs/>
          <w:sz w:val="24"/>
          <w:szCs w:val="24"/>
          <w:lang w:val="de-DE" w:eastAsia="cs-CZ"/>
        </w:rPr>
        <w:t xml:space="preserve"> bearbeitete D</w:t>
      </w:r>
      <w:r w:rsidR="00511D4F">
        <w:rPr>
          <w:rFonts w:ascii="Times New Roman" w:eastAsia="Times New Roman" w:hAnsi="Times New Roman" w:cs="Times New Roman"/>
          <w:bCs/>
          <w:sz w:val="24"/>
          <w:szCs w:val="24"/>
          <w:lang w:val="de-DE" w:eastAsia="cs-CZ"/>
        </w:rPr>
        <w:t xml:space="preserve">r. </w:t>
      </w:r>
      <w:proofErr w:type="spellStart"/>
      <w:r w:rsidRPr="00511D4F">
        <w:rPr>
          <w:rFonts w:ascii="Times New Roman" w:eastAsia="Times New Roman" w:hAnsi="Times New Roman" w:cs="Times New Roman"/>
          <w:bCs/>
          <w:sz w:val="24"/>
          <w:szCs w:val="24"/>
          <w:lang w:val="de-DE" w:eastAsia="cs-CZ"/>
        </w:rPr>
        <w:t>Zdeněk</w:t>
      </w:r>
      <w:proofErr w:type="spellEnd"/>
      <w:r w:rsidRPr="00511D4F">
        <w:rPr>
          <w:rFonts w:ascii="Times New Roman" w:eastAsia="Times New Roman" w:hAnsi="Times New Roman" w:cs="Times New Roman"/>
          <w:bCs/>
          <w:sz w:val="24"/>
          <w:szCs w:val="24"/>
          <w:lang w:val="de-DE" w:eastAsia="cs-CZ"/>
        </w:rPr>
        <w:t xml:space="preserve"> </w:t>
      </w:r>
      <w:proofErr w:type="spellStart"/>
      <w:r w:rsidRPr="00511D4F">
        <w:rPr>
          <w:rFonts w:ascii="Times New Roman" w:eastAsia="Times New Roman" w:hAnsi="Times New Roman" w:cs="Times New Roman"/>
          <w:bCs/>
          <w:sz w:val="24"/>
          <w:szCs w:val="24"/>
          <w:lang w:val="de-DE" w:eastAsia="cs-CZ"/>
        </w:rPr>
        <w:t>Vávra</w:t>
      </w:r>
      <w:proofErr w:type="spellEnd"/>
      <w:r w:rsidRPr="00511D4F">
        <w:rPr>
          <w:rFonts w:ascii="Times New Roman" w:eastAsia="Times New Roman" w:hAnsi="Times New Roman" w:cs="Times New Roman"/>
          <w:bCs/>
          <w:sz w:val="24"/>
          <w:szCs w:val="24"/>
          <w:lang w:val="de-DE" w:eastAsia="cs-CZ"/>
        </w:rPr>
        <w:t>)</w:t>
      </w:r>
    </w:p>
    <w:p w:rsidR="002F0ECA" w:rsidRPr="00511D4F" w:rsidRDefault="00C779BE" w:rsidP="00511D4F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= </w:t>
      </w:r>
      <w:r w:rsidR="002E643A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der Zeitraum, der vergeht, bis die Anschaffungskosten einer Investition durch die von ihr erwirtschafteten Einnahmen zurückgeflossen sind</w:t>
      </w:r>
      <w:r w:rsidR="009B1E88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; auch „Payback </w:t>
      </w:r>
      <w:proofErr w:type="spellStart"/>
      <w:r w:rsidR="009B1E88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Period</w:t>
      </w:r>
      <w:proofErr w:type="spellEnd"/>
      <w:r w:rsidR="009B1E88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“ genannt</w:t>
      </w:r>
      <w:r w:rsidR="002E643A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; mathematisch = Kapitaleinsatz / (Gewinn + Abschreibungen pro Jahr).</w:t>
      </w:r>
    </w:p>
    <w:p w:rsidR="00C779BE" w:rsidRPr="00511D4F" w:rsidRDefault="00C779BE" w:rsidP="00C779BE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= </w:t>
      </w:r>
      <w:r w:rsidR="009B1E88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 die Summe von Personal-, Material-, Energie-, Raum-</w:t>
      </w:r>
      <w:r w:rsidR="005E17F5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 und</w:t>
      </w:r>
      <w:r w:rsidR="009B1E88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 Instandhaltungs</w:t>
      </w:r>
      <w:r w:rsidR="005E17F5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>kosten</w:t>
      </w:r>
      <w:r w:rsidR="006B4419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>.</w:t>
      </w:r>
      <w:r w:rsidR="009B1E88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 </w:t>
      </w:r>
    </w:p>
    <w:p w:rsidR="006B4419" w:rsidRDefault="006B4419" w:rsidP="00C779BE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das Instrument </w:t>
      </w:r>
      <w:r w:rsidR="009B1E8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zur Steuerung des Unternehmens, </w:t>
      </w:r>
      <w:r w:rsidR="0032631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das</w:t>
      </w:r>
      <w:r w:rsidR="009B1E8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eine managementunterstützende und koordinierende Funktion</w:t>
      </w:r>
      <w:r w:rsidR="0032631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hat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  <w:r w:rsidR="009B1E8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</w:t>
      </w:r>
      <w:r w:rsidR="0032631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Es u</w:t>
      </w:r>
      <w:r w:rsidR="009B1E8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mfasst die Schritte</w:t>
      </w:r>
      <w:r w:rsidR="005E17F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:</w:t>
      </w:r>
      <w:r w:rsidR="009B1E8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Planung, Kontrolle und Information.</w:t>
      </w:r>
      <w:r w:rsidR="0032631F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Vergleichbar mit dem Navigator eines Schiffes, der Schiffsführung Empfehlungen hinsichtlich Kurs des Schiffes gibt; die Entscheidung obliegt der Führung.</w:t>
      </w:r>
    </w:p>
    <w:p w:rsidR="006B4419" w:rsidRPr="00511D4F" w:rsidRDefault="006B4419" w:rsidP="00C779BE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= </w:t>
      </w:r>
      <w:r w:rsidR="005E17F5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die Stückkosten, die u.a. zur Kalkulation der Preisuntergrenze dienen.</w:t>
      </w:r>
    </w:p>
    <w:p w:rsidR="006B4419" w:rsidRPr="00511D4F" w:rsidRDefault="006B4419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= </w:t>
      </w:r>
      <w:r w:rsidR="00A94897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der möglichst wirksame und erfolgreiche Einsatz der </w:t>
      </w:r>
      <w:r w:rsidR="00A94897" w:rsidRPr="00511D4F">
        <w:rPr>
          <w:rFonts w:ascii="Times New Roman" w:eastAsia="Times New Roman" w:hAnsi="Times New Roman" w:cs="Times New Roman"/>
          <w:color w:val="00602B"/>
          <w:sz w:val="24"/>
          <w:szCs w:val="24"/>
          <w:u w:val="single"/>
          <w:lang w:val="de-DE" w:eastAsia="cs-CZ"/>
        </w:rPr>
        <w:t>Mittel</w:t>
      </w:r>
      <w:r w:rsidR="00EF1140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; </w:t>
      </w:r>
      <w:r w:rsidR="00A94897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im Rahmen der gegebenen Ziele </w:t>
      </w:r>
      <w:r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>= (</w:t>
      </w:r>
      <w:r w:rsidR="00A94897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>Output</w:t>
      </w:r>
      <w:r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 / </w:t>
      </w:r>
      <w:r w:rsidR="00A94897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>Input</w:t>
      </w:r>
      <w:r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>)</w:t>
      </w:r>
      <w:r w:rsidR="00A94897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 </w:t>
      </w:r>
      <w:r w:rsidR="00A81FFF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ab/>
      </w:r>
      <w:r w:rsidR="00A81FFF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ab/>
      </w:r>
      <w:r w:rsidR="00A81FFF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ab/>
        <w:t>{</w:t>
      </w:r>
      <w:r w:rsidR="00A94897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X die Effektivität = </w:t>
      </w:r>
      <w:r w:rsidR="00A81FFF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>Zielerreichungsgrad}</w:t>
      </w:r>
    </w:p>
    <w:p w:rsidR="00EF1140" w:rsidRDefault="00EF1140" w:rsidP="004B330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5E17F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die Kosten, die unabhängig von der produzierten Menge immer in derselben Höhe anfallen (z. B. Mietkosten für eine Produktionshalle)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EF1140" w:rsidRPr="00511D4F" w:rsidRDefault="00EF1140" w:rsidP="004B330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= </w:t>
      </w:r>
      <w:r w:rsidR="005E17F5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die Mehrkosten, die für die zusätzliche Produktion einer weiteren Einheit anfallen</w:t>
      </w:r>
      <w:r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.</w:t>
      </w:r>
    </w:p>
    <w:p w:rsidR="00EF1140" w:rsidRPr="00511D4F" w:rsidRDefault="00EF1140" w:rsidP="004B330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= </w:t>
      </w:r>
      <w:r w:rsidR="00412045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>die Differenz (in %) zwischen dem Bezugspreis und dem Verkaufspreis einer Ware; mathematisch = [(Nettoverkaufspreis – Bezugspreis) / Nettoverkaufspreis] x 100</w:t>
      </w:r>
    </w:p>
    <w:p w:rsidR="00F23161" w:rsidRDefault="00F23161" w:rsidP="004B330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200BBC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die</w:t>
      </w:r>
      <w:r w:rsidR="0041204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tatsächlich bei der Herstellung und dem Ver</w:t>
      </w:r>
      <w:r w:rsidR="00200BBC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trieb angefallenen Kosten (z. B. 2015)</w:t>
      </w:r>
      <w:r w:rsidR="0041204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F23161" w:rsidRPr="00511D4F" w:rsidRDefault="00F23161" w:rsidP="004B330B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= </w:t>
      </w:r>
      <w:r w:rsidR="00200BBC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am Ende eines jeden Geschäftsjahres hat ein </w:t>
      </w:r>
      <w:hyperlink r:id="rId6" w:history="1">
        <w:r w:rsidR="00200BBC" w:rsidRPr="00511D4F">
          <w:rPr>
            <w:rFonts w:ascii="Times New Roman" w:eastAsia="Times New Roman" w:hAnsi="Times New Roman" w:cs="Times New Roman"/>
            <w:color w:val="C00000"/>
            <w:sz w:val="24"/>
            <w:szCs w:val="24"/>
            <w:lang w:val="de-DE" w:eastAsia="cs-CZ"/>
          </w:rPr>
          <w:t>Konzern</w:t>
        </w:r>
      </w:hyperlink>
      <w:r w:rsidR="00200BBC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 einen ………………………… zu verfassen. Dieser dient der Information über die finanziellen Angelegenheiten des Unternehmens. Seine Form wird durch das Handelsgesetzbuch vorgeschrieben.</w:t>
      </w:r>
    </w:p>
    <w:p w:rsidR="00F23161" w:rsidRPr="00511D4F" w:rsidRDefault="00F23161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= </w:t>
      </w:r>
      <w:r w:rsidR="00200BBC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>die Orte der Kostenentstehung</w:t>
      </w:r>
      <w:r w:rsidR="00186212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>.</w:t>
      </w:r>
      <w:r w:rsidR="00200BBC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 Dienen zum Zwecke der Budgetierung, Steuerung und Kontrolle (z. B. </w:t>
      </w:r>
      <w:r w:rsidR="00B308E2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>Material, Fertigung, Verwaltung, Vertrieb).</w:t>
      </w:r>
    </w:p>
    <w:p w:rsidR="00186212" w:rsidRDefault="00186212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die </w:t>
      </w:r>
      <w:r w:rsidR="00B308E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im Produktionsprozess erstellten und in Geld bewerteten Güter oder Dienstleistungen: a) für den Markt (verkaufte Ware) + </w:t>
      </w:r>
      <w:r w:rsidR="00DA7D7C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innerbetrieblich</w:t>
      </w:r>
      <w:r w:rsidR="00B308E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(z. B. Reparatur)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186212" w:rsidRPr="00511D4F" w:rsidRDefault="00186212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= </w:t>
      </w:r>
      <w:r w:rsidR="00691598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eine Entscheidung, ob ein Produkt oder eine Dienstleistung selbst hergestellt oder eingekauft wird, wobei die Kostengesichtspunkte in erster Linie eine Rolle spielen.</w:t>
      </w:r>
    </w:p>
    <w:p w:rsidR="00186212" w:rsidRPr="00511D4F" w:rsidRDefault="00186212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= </w:t>
      </w:r>
      <w:r w:rsidR="00B308E2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>der Zeitraum, in dem das Investitionsobjekt zweckentsprechend genutzt werden kann</w:t>
      </w:r>
      <w:r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>.</w:t>
      </w:r>
    </w:p>
    <w:p w:rsidR="00186212" w:rsidRDefault="00186212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69159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entgangene Gewinne, die man alternativ erzielen könnte (</w:t>
      </w:r>
      <w:r w:rsidR="00691598" w:rsidRPr="00691598">
        <w:rPr>
          <w:rFonts w:ascii="Times New Roman" w:eastAsia="Times New Roman" w:hAnsi="Times New Roman" w:cs="Times New Roman"/>
          <w:sz w:val="24"/>
          <w:szCs w:val="24"/>
          <w:u w:val="single"/>
          <w:lang w:val="de-DE" w:eastAsia="cs-CZ"/>
        </w:rPr>
        <w:t>Variante 2</w:t>
      </w:r>
      <w:r w:rsidR="00691598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vs. Realität)</w:t>
      </w: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186212" w:rsidRPr="00511D4F" w:rsidRDefault="00186212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= </w:t>
      </w:r>
      <w:r w:rsidR="00DF5737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basiert auf dem Produktlebenszyklus-Konzept</w:t>
      </w:r>
      <w:r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.</w:t>
      </w:r>
      <w:r w:rsidR="00DF5737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 Die strategischen Erfolgsfaktoren sind das reale Marktwachstum (W) und der relative Marktanteil (A). Vier Gruppen: Milchkühe (W niedrig, A hoch), Star-Produkte (W hoch, A hoch), Nachwuchsprodukte</w:t>
      </w:r>
      <w:r w:rsidR="001F31CB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 „Babys“</w:t>
      </w:r>
      <w:r w:rsidR="00DF5737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 </w:t>
      </w:r>
      <w:r w:rsidR="001F31CB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mit Zukunft = ???</w:t>
      </w:r>
      <w:r w:rsidR="00DF5737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 (W hoch, A niedrig), Auslaufprodukte „Poor Dogs“ (W niedrig, A niedrig)</w:t>
      </w:r>
    </w:p>
    <w:p w:rsidR="001F31CB" w:rsidRPr="00511D4F" w:rsidRDefault="001A1533" w:rsidP="00665898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= </w:t>
      </w:r>
      <w:r w:rsidR="001F31CB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die freiwillige, vierteljährliche Veröffentlichung von Zwischenbilanzen einer </w:t>
      </w:r>
      <w:hyperlink r:id="rId7" w:history="1">
        <w:r w:rsidR="001F31CB" w:rsidRPr="00511D4F">
          <w:rPr>
            <w:rFonts w:ascii="Times New Roman" w:eastAsia="Times New Roman" w:hAnsi="Times New Roman" w:cs="Times New Roman"/>
            <w:color w:val="00602B"/>
            <w:sz w:val="24"/>
            <w:szCs w:val="24"/>
            <w:lang w:val="de-DE" w:eastAsia="cs-CZ"/>
          </w:rPr>
          <w:t>Aktiengesellschaft</w:t>
        </w:r>
      </w:hyperlink>
      <w:r w:rsidR="001F31CB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. Quartalsbilanzen bringen i. d. R. mehr Transparenz in den Markt. </w:t>
      </w:r>
    </w:p>
    <w:p w:rsidR="001A1533" w:rsidRPr="001F31CB" w:rsidRDefault="001A1533" w:rsidP="00665898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 w:rsidRPr="001F31CB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EC219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dritte Phase des Produktlebenszyklus. Die anderen sind: 1. Einführungsphase (Umsatz niedrig, Kosten hoch), 2. Wachstumsphase (Umsatz nimmt zu), 3. …, 4. Sättigungsphase</w:t>
      </w:r>
      <w:r w:rsidR="000F2221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.</w:t>
      </w:r>
    </w:p>
    <w:p w:rsidR="001A1533" w:rsidRPr="00511D4F" w:rsidRDefault="00454797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=</w:t>
      </w:r>
      <w:r w:rsidR="00AC0968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 </w:t>
      </w:r>
      <w:r w:rsidR="000F2221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wichtiges Instrument der strategischen Planung</w:t>
      </w:r>
      <w:r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.</w:t>
      </w:r>
      <w:r w:rsidR="000F2221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 Sie umfasst die Ergebnisse der internen Analyse (Stärken = </w:t>
      </w:r>
      <w:proofErr w:type="spellStart"/>
      <w:r w:rsidR="000F2221" w:rsidRPr="00511D4F"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de-DE" w:eastAsia="cs-CZ"/>
        </w:rPr>
        <w:t>S</w:t>
      </w:r>
      <w:r w:rsidR="000F2221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trenghts</w:t>
      </w:r>
      <w:proofErr w:type="spellEnd"/>
      <w:r w:rsidR="000F2221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 vs. Schwächen = </w:t>
      </w:r>
      <w:proofErr w:type="spellStart"/>
      <w:r w:rsidR="000F2221" w:rsidRPr="00511D4F"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de-DE" w:eastAsia="cs-CZ"/>
        </w:rPr>
        <w:t>W</w:t>
      </w:r>
      <w:r w:rsidR="000F2221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eakness</w:t>
      </w:r>
      <w:proofErr w:type="spellEnd"/>
      <w:r w:rsidR="000F2221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) und der externen Analyse, d. h. der Umfeldanalyse (Chancen = </w:t>
      </w:r>
      <w:proofErr w:type="spellStart"/>
      <w:r w:rsidR="000F2221" w:rsidRPr="00511D4F"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de-DE" w:eastAsia="cs-CZ"/>
        </w:rPr>
        <w:t>O</w:t>
      </w:r>
      <w:r w:rsidR="000F2221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pportunities</w:t>
      </w:r>
      <w:proofErr w:type="spellEnd"/>
      <w:r w:rsidR="000F2221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 vs. Gefahren = </w:t>
      </w:r>
      <w:proofErr w:type="spellStart"/>
      <w:r w:rsidR="000F2221" w:rsidRPr="00511D4F"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de-DE" w:eastAsia="cs-CZ"/>
        </w:rPr>
        <w:t>T</w:t>
      </w:r>
      <w:r w:rsidR="000F2221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hreats</w:t>
      </w:r>
      <w:proofErr w:type="spellEnd"/>
      <w:r w:rsidR="000F2221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).</w:t>
      </w:r>
    </w:p>
    <w:p w:rsidR="00454797" w:rsidRPr="00511D4F" w:rsidRDefault="00454797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= </w:t>
      </w:r>
      <w:r w:rsidR="00CA0412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>es werden nur die entscheidungsrelevanten Kosten erfasst (meistens die variablen Kosten)</w:t>
      </w:r>
      <w:r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>.</w:t>
      </w:r>
      <w:r w:rsidR="00CA0412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 Man verzichtet auf die Verteilung der fixen Kosten.</w:t>
      </w:r>
    </w:p>
    <w:p w:rsidR="00454797" w:rsidRDefault="00AC0968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= </w:t>
      </w:r>
      <w:r w:rsidR="00CA041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diese Analyse hat das Ziel, mögliche Entwicklungstendenzen zu erkennen und hieraus Chancen und Risiken</w:t>
      </w:r>
      <w:r w:rsidR="004001D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für das Unternehmen</w:t>
      </w:r>
      <w:r w:rsidR="00CA041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 xml:space="preserve"> abzuleiten (z. B. Wettbewerber in der Branche, Rivalität unter bestehenden Unternehmen, Ersatzprodukte, potentielle neue Kunden, Abnehmer, Lieferanten, Staat, Öffentlichkeit, Anteilseigner, Mitarbeiter, rechtliche, technologisch</w:t>
      </w:r>
      <w:r w:rsidR="006B05A5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e</w:t>
      </w:r>
      <w:r w:rsidR="00CA041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>, ökologische und gesellschaftliche Aspekte).</w:t>
      </w:r>
    </w:p>
    <w:p w:rsidR="00454797" w:rsidRPr="00511D4F" w:rsidRDefault="00454797" w:rsidP="00F23161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 xml:space="preserve">= </w:t>
      </w:r>
      <w:r w:rsidR="004001D2"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Kosten, die sich bei Änderung der Produktions- und Absatzmenge ändern</w:t>
      </w:r>
      <w:r w:rsidRPr="00511D4F">
        <w:rPr>
          <w:rFonts w:ascii="Times New Roman" w:eastAsia="Times New Roman" w:hAnsi="Times New Roman" w:cs="Times New Roman"/>
          <w:color w:val="C00000"/>
          <w:sz w:val="24"/>
          <w:szCs w:val="24"/>
          <w:lang w:val="de-DE" w:eastAsia="cs-CZ"/>
        </w:rPr>
        <w:t>.</w:t>
      </w:r>
    </w:p>
    <w:p w:rsidR="00511D4F" w:rsidRDefault="00454797" w:rsidP="001E1C19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ind w:left="1276" w:hanging="1276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 xml:space="preserve">= </w:t>
      </w:r>
      <w:r w:rsidR="004001D2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>Kosten, die für die Wiederbeschaffung eines Vermögensgegenstandes (z. B. einer Maschine) aufgewendet werden müssen</w:t>
      </w:r>
      <w:r w:rsidR="005B4A48" w:rsidRPr="00511D4F">
        <w:rPr>
          <w:rFonts w:ascii="Times New Roman" w:eastAsia="Times New Roman" w:hAnsi="Times New Roman" w:cs="Times New Roman"/>
          <w:color w:val="00602B"/>
          <w:sz w:val="24"/>
          <w:szCs w:val="24"/>
          <w:lang w:val="de-DE" w:eastAsia="cs-CZ"/>
        </w:rPr>
        <w:t>.</w:t>
      </w:r>
      <w:r w:rsidR="00AC0968" w:rsidRPr="004001D2"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  <w:tab/>
      </w:r>
    </w:p>
    <w:p w:rsidR="00511D4F" w:rsidRPr="004001D2" w:rsidRDefault="00AC0968" w:rsidP="00511D4F">
      <w:pPr>
        <w:pStyle w:val="Odstavecseseznamem"/>
        <w:spacing w:before="100" w:beforeAutospacing="1" w:after="100" w:afterAutospacing="1" w:line="240" w:lineRule="auto"/>
        <w:ind w:left="1276"/>
        <w:jc w:val="both"/>
        <w:rPr>
          <w:rFonts w:ascii="Times New Roman" w:eastAsia="Times New Roman" w:hAnsi="Times New Roman" w:cs="Times New Roman"/>
          <w:sz w:val="24"/>
          <w:szCs w:val="24"/>
          <w:lang w:val="de-DE" w:eastAsia="cs-CZ"/>
        </w:rPr>
      </w:pPr>
      <w:r w:rsidRPr="00511D4F">
        <w:rPr>
          <w:rFonts w:ascii="Times New Roman" w:eastAsia="Times New Roman" w:hAnsi="Times New Roman" w:cs="Times New Roman"/>
          <w:i/>
          <w:sz w:val="24"/>
          <w:szCs w:val="24"/>
          <w:highlight w:val="cyan"/>
          <w:lang w:val="de-DE" w:eastAsia="cs-CZ"/>
        </w:rPr>
        <w:t>Und was ist Z? Definieren Sie</w:t>
      </w:r>
      <w:r w:rsidRPr="004001D2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t xml:space="preserve">! </w:t>
      </w:r>
      <w:r w:rsidRPr="00AC0968">
        <w:rPr>
          <w:rFonts w:ascii="Times New Roman" w:eastAsia="Times New Roman" w:hAnsi="Times New Roman" w:cs="Times New Roman"/>
          <w:i/>
          <w:sz w:val="24"/>
          <w:szCs w:val="24"/>
          <w:lang w:val="de-DE" w:eastAsia="cs-CZ"/>
        </w:rPr>
        <w:sym w:font="Wingdings" w:char="F04A"/>
      </w:r>
      <w:bookmarkStart w:id="0" w:name="_GoBack"/>
      <w:bookmarkEnd w:id="0"/>
    </w:p>
    <w:sectPr w:rsidR="00511D4F" w:rsidRPr="004001D2" w:rsidSect="00454797">
      <w:pgSz w:w="11906" w:h="16838"/>
      <w:pgMar w:top="1077" w:right="851" w:bottom="680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E2D10"/>
    <w:multiLevelType w:val="hybridMultilevel"/>
    <w:tmpl w:val="637CF3C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C559C5"/>
    <w:multiLevelType w:val="hybridMultilevel"/>
    <w:tmpl w:val="118A3840"/>
    <w:lvl w:ilvl="0" w:tplc="92F4052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32428DE"/>
    <w:multiLevelType w:val="hybridMultilevel"/>
    <w:tmpl w:val="2B8E373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ECA"/>
    <w:rsid w:val="000A24AC"/>
    <w:rsid w:val="000F2221"/>
    <w:rsid w:val="00171DEE"/>
    <w:rsid w:val="00186212"/>
    <w:rsid w:val="001A1533"/>
    <w:rsid w:val="001F31CB"/>
    <w:rsid w:val="00200BBC"/>
    <w:rsid w:val="00277FFB"/>
    <w:rsid w:val="002E643A"/>
    <w:rsid w:val="002F0ECA"/>
    <w:rsid w:val="0032631F"/>
    <w:rsid w:val="004001D2"/>
    <w:rsid w:val="004070D5"/>
    <w:rsid w:val="00412045"/>
    <w:rsid w:val="00412BCE"/>
    <w:rsid w:val="00454797"/>
    <w:rsid w:val="00511D4F"/>
    <w:rsid w:val="005B4A48"/>
    <w:rsid w:val="005E17F5"/>
    <w:rsid w:val="00691598"/>
    <w:rsid w:val="006B05A5"/>
    <w:rsid w:val="006B4419"/>
    <w:rsid w:val="00936B06"/>
    <w:rsid w:val="009A5B83"/>
    <w:rsid w:val="009B1E88"/>
    <w:rsid w:val="00A81FFF"/>
    <w:rsid w:val="00A94897"/>
    <w:rsid w:val="00AB0BA6"/>
    <w:rsid w:val="00AC0968"/>
    <w:rsid w:val="00B308E2"/>
    <w:rsid w:val="00C779BE"/>
    <w:rsid w:val="00CA0412"/>
    <w:rsid w:val="00DA7D7C"/>
    <w:rsid w:val="00DF5737"/>
    <w:rsid w:val="00E87ECE"/>
    <w:rsid w:val="00EC2195"/>
    <w:rsid w:val="00EF1140"/>
    <w:rsid w:val="00F2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F0E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F0EC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F0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wischenueberschrift1">
    <w:name w:val="zwischenueberschrift1"/>
    <w:basedOn w:val="Standardnpsmoodstavce"/>
    <w:rsid w:val="002F0ECA"/>
    <w:rPr>
      <w:rFonts w:ascii="Arial" w:hAnsi="Arial" w:cs="Arial" w:hint="default"/>
      <w:b/>
      <w:bCs/>
      <w:strike w:val="0"/>
      <w:dstrike w:val="0"/>
      <w:color w:val="000000"/>
      <w:sz w:val="21"/>
      <w:szCs w:val="21"/>
      <w:u w:val="none"/>
      <w:effect w:val="none"/>
    </w:rPr>
  </w:style>
  <w:style w:type="character" w:customStyle="1" w:styleId="hervorgehoben1">
    <w:name w:val="hervorgehoben1"/>
    <w:basedOn w:val="Standardnpsmoodstavce"/>
    <w:rsid w:val="002F0ECA"/>
    <w:rPr>
      <w:rFonts w:ascii="Arial" w:hAnsi="Arial" w:cs="Arial" w:hint="default"/>
      <w:b/>
      <w:bCs/>
      <w:i w:val="0"/>
      <w:iCs w:val="0"/>
      <w:smallCaps w:val="0"/>
      <w:strike w:val="0"/>
      <w:dstrike w:val="0"/>
      <w:color w:val="000000"/>
      <w:sz w:val="21"/>
      <w:szCs w:val="21"/>
      <w:u w:val="none"/>
      <w:effect w:val="none"/>
    </w:rPr>
  </w:style>
  <w:style w:type="paragraph" w:styleId="Odstavecseseznamem">
    <w:name w:val="List Paragraph"/>
    <w:basedOn w:val="Normln"/>
    <w:uiPriority w:val="34"/>
    <w:qFormat/>
    <w:rsid w:val="000A24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1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1DEE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semiHidden/>
    <w:unhideWhenUsed/>
    <w:rsid w:val="00200BBC"/>
    <w:rPr>
      <w:strike w:val="0"/>
      <w:dstrike w:val="0"/>
      <w:color w:val="0C5798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2F0E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F0EC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F0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wischenueberschrift1">
    <w:name w:val="zwischenueberschrift1"/>
    <w:basedOn w:val="Standardnpsmoodstavce"/>
    <w:rsid w:val="002F0ECA"/>
    <w:rPr>
      <w:rFonts w:ascii="Arial" w:hAnsi="Arial" w:cs="Arial" w:hint="default"/>
      <w:b/>
      <w:bCs/>
      <w:strike w:val="0"/>
      <w:dstrike w:val="0"/>
      <w:color w:val="000000"/>
      <w:sz w:val="21"/>
      <w:szCs w:val="21"/>
      <w:u w:val="none"/>
      <w:effect w:val="none"/>
    </w:rPr>
  </w:style>
  <w:style w:type="character" w:customStyle="1" w:styleId="hervorgehoben1">
    <w:name w:val="hervorgehoben1"/>
    <w:basedOn w:val="Standardnpsmoodstavce"/>
    <w:rsid w:val="002F0ECA"/>
    <w:rPr>
      <w:rFonts w:ascii="Arial" w:hAnsi="Arial" w:cs="Arial" w:hint="default"/>
      <w:b/>
      <w:bCs/>
      <w:i w:val="0"/>
      <w:iCs w:val="0"/>
      <w:smallCaps w:val="0"/>
      <w:strike w:val="0"/>
      <w:dstrike w:val="0"/>
      <w:color w:val="000000"/>
      <w:sz w:val="21"/>
      <w:szCs w:val="21"/>
      <w:u w:val="none"/>
      <w:effect w:val="none"/>
    </w:rPr>
  </w:style>
  <w:style w:type="paragraph" w:styleId="Odstavecseseznamem">
    <w:name w:val="List Paragraph"/>
    <w:basedOn w:val="Normln"/>
    <w:uiPriority w:val="34"/>
    <w:qFormat/>
    <w:rsid w:val="000A24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71D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1DEE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semiHidden/>
    <w:unhideWhenUsed/>
    <w:rsid w:val="00200BBC"/>
    <w:rPr>
      <w:strike w:val="0"/>
      <w:dstrike w:val="0"/>
      <w:color w:val="0C579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639118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85346">
          <w:marLeft w:val="0"/>
          <w:marRight w:val="0"/>
          <w:marTop w:val="0"/>
          <w:marBottom w:val="0"/>
          <w:divBdr>
            <w:top w:val="single" w:sz="6" w:space="0" w:color="C0C0C0"/>
            <w:left w:val="single" w:sz="6" w:space="0" w:color="C0C0C0"/>
            <w:bottom w:val="single" w:sz="6" w:space="4" w:color="C0C0C0"/>
            <w:right w:val="single" w:sz="6" w:space="0" w:color="C0C0C0"/>
          </w:divBdr>
          <w:divsChild>
            <w:div w:id="1676108180">
              <w:marLeft w:val="60"/>
              <w:marRight w:val="3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3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7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8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40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75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156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78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542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finanzen.net/lexikon/boersenlexikon/Aktiengesellschaf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inanzen.net/lexikon/boersenlexikon/Konzer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605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4172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Vavra</cp:lastModifiedBy>
  <cp:revision>3</cp:revision>
  <cp:lastPrinted>2015-03-20T16:30:00Z</cp:lastPrinted>
  <dcterms:created xsi:type="dcterms:W3CDTF">2021-01-13T16:59:00Z</dcterms:created>
  <dcterms:modified xsi:type="dcterms:W3CDTF">2021-01-13T17:05:00Z</dcterms:modified>
</cp:coreProperties>
</file>