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2FEF" w:rsidRPr="00992FEF" w:rsidRDefault="00F77710" w:rsidP="00992FEF">
      <w:pPr>
        <w:spacing w:after="240" w:line="360" w:lineRule="auto"/>
        <w:jc w:val="center"/>
        <w:rPr>
          <w:b/>
          <w:sz w:val="36"/>
          <w:szCs w:val="36"/>
        </w:rPr>
      </w:pPr>
      <w:r>
        <w:rPr>
          <w:b/>
          <w:sz w:val="36"/>
          <w:szCs w:val="36"/>
        </w:rPr>
        <w:t>ZEMĚDĚLSKÉ PLOCHY V BAVORSKU</w:t>
      </w:r>
    </w:p>
    <w:p w:rsidR="00F77710" w:rsidRDefault="00F77710" w:rsidP="00F77710">
      <w:pPr>
        <w:spacing w:after="240" w:line="360" w:lineRule="auto"/>
        <w:jc w:val="both"/>
        <w:rPr>
          <w:sz w:val="24"/>
          <w:szCs w:val="24"/>
        </w:rPr>
      </w:pPr>
      <w:r>
        <w:rPr>
          <w:color w:val="000000"/>
          <w:sz w:val="24"/>
          <w:szCs w:val="24"/>
        </w:rPr>
        <w:t>Vzhledem k nedostatku surovin, slabé infrastruktuře, opožděné industrializaci a poloze stranou od významných center dominovalo v Bavorsku v 19. století agrární hospodářství. K výraznější strukturální proměně docházelo až po 2. světové válce, kdy „svobodný stát“ (</w:t>
      </w:r>
      <w:r>
        <w:rPr>
          <w:i/>
          <w:color w:val="000000"/>
          <w:sz w:val="24"/>
          <w:szCs w:val="24"/>
        </w:rPr>
        <w:t>Freistaat</w:t>
      </w:r>
      <w:r>
        <w:rPr>
          <w:color w:val="000000"/>
          <w:sz w:val="24"/>
          <w:szCs w:val="24"/>
        </w:rPr>
        <w:t>) těžil z pracovní síly vysídlených Němců, a v 60. letech, kdy zde Spolková armáda (</w:t>
      </w:r>
      <w:r>
        <w:rPr>
          <w:i/>
          <w:color w:val="000000"/>
          <w:sz w:val="24"/>
          <w:szCs w:val="24"/>
        </w:rPr>
        <w:t>Bundeswehr</w:t>
      </w:r>
      <w:r>
        <w:rPr>
          <w:color w:val="000000"/>
          <w:sz w:val="24"/>
          <w:szCs w:val="24"/>
        </w:rPr>
        <w:t xml:space="preserve">) umístila nové základny a budovaly se továrny s moderní výrobou. V 70. letech již Bavorsko vystupuje jako vedoucí průmyslová země a v dalších letech vyniká jako centrum nejnovějších technologií. Od roku 1970 do roku 2013 poklesl podíl zemědělské půdy v Bavorsku z 53 % na 44 % (z toho na 38 % se pěstuje obilí, především pšenice, plochy ječmene se zmenšují, výměra žita zůstává stabilní; 34 % jsou louky; 17 % zaujímají krmné plodiny, 5 % obchodní plodiny, převážně řepka a 3 % kulturní rostliny, zejména brambory a řepa cukrovka; 1 % zbývá na vinnou révu, ovoce, zeleninu atd.; 2 % činí úhor) </w:t>
      </w:r>
      <w:r>
        <w:rPr>
          <w:sz w:val="24"/>
          <w:szCs w:val="24"/>
        </w:rPr>
        <w:t>Přes tuto tendenci představuje zemědělství i v současnosti hospodářský sektor, který má v Bavorsku historicky, politicky i ekonomicky důležité postavení. Z veřejných prostředků plyne do bavorského zemědělství a lesnictví více než 3,5 miliardy eur [Bayerischer …, 2014, s. 5]. Dohromady s lesnictvím a rybářstvím dosahuje zemědělství 15 % veškerého obratu Bavorska (153 miliard eur) a mezi spolkovými zeměmi tvoří přes 18 % přidané hodnoty německého zemědělství, lesnictví a rybářství (následuje Dolní Sasko s 16 % a Severní Porýní Vestfálsko se 14 %). Třetina všech zemědělských podniků v Německu se nachází právě v Bavorsku. Počet zaměstnanců v zemědělství, lesnictví a rybářství sice činí v průměru pouze 2,2 % a vyznačuje se značnými regionálními rozdíly (zemský okres Mnichov méně než 1 % vs. zemský okres Straubing-Bogen přes 9 %), jinak ovšem statistika vypadá při započítání spolupracujících oborů (např. potravinářství): každé sedmé pracovní místo v Bavorsku souvisí se zemědělstvím a lesnictvím [tamtéž, s. 3]. Na přibližně 14 % zemědělských ploch jsou pěstovány obnovitelné zdroje pro výrobu bioplynu, biodieselu a biothanolu. Bioplynové stanice pokrývaly v roce 2012 přes 6 % hrubé spotřeby energie v Bavorsku, což odpovídá nárokům 1,6 mil. domácností [tamtéž, s. 6]. Zatímco v roce 2000 upozorňoval Klebel na malou poptávku obyvatelstva po biopotravinách, která se odrážela i v malé ploše, která byla obhospodařována podle zásad ekologického zemědělství (2,6 %), došlo v následujících letech k postupnému nárůstu těchto ploch (na 6,8 % v roce 2013) a při započtení 2850 zpracovatelů v průmyslu biopotravin se v absolutních číslech stalo Bavorsko nejvýznamnější německou spolkovou zemí ekologického zemědělství [(1) Klebel, 2005, s. 94; (2) Bayerischer …, 2014, s. 3]. Potenciál pro další růst je značný. Bavorské státní ministerstvo výživy, zemědělství a lesnictví (</w:t>
      </w:r>
      <w:r>
        <w:rPr>
          <w:i/>
          <w:sz w:val="24"/>
          <w:szCs w:val="24"/>
        </w:rPr>
        <w:t xml:space="preserve">Bayerisches Staatsministerium für </w:t>
      </w:r>
      <w:r>
        <w:rPr>
          <w:i/>
          <w:sz w:val="24"/>
          <w:szCs w:val="24"/>
        </w:rPr>
        <w:lastRenderedPageBreak/>
        <w:t>Ernährung, Landwirtschaft und Forsten</w:t>
      </w:r>
      <w:r>
        <w:rPr>
          <w:sz w:val="24"/>
          <w:szCs w:val="24"/>
        </w:rPr>
        <w:t>) usiluje o zdvojnásobení ploch ekologického zemědělství do roku 2020 a větší podíl farem a rodinných podniků [Bayerischer …, 2014, s. 7]. Je třeba zastavit trend moderního zemědělství s monokulturami, které ohrožují biodiverzitu a spodní vody a vedou k degeneraci půdy [Meadows, 1993, s. 77]. Protože za současných podmínek je masový chov zvířat ekonomicky výhodnější (např. na jednoho chovatele připadá 60 krav, 400 slepic nebo 210 prasat), je třeba vytvářet vhodné podmínky pro ekologický chov zvířat [Eisenschmid, 2014, s. 45]. Bavorská vláda chce posílit postavení specialit regionálního původu, etablovat farmářské trhy i na venkově a rozšířit regionální biopotraviny, především ovoce a zeleninu ve společném stravování (program je zaměřen na děti ve věku 3-6 let a na generaci 55 plus) [Bayerischer …, 2014, s. 7]. V Bavorsku i vlivem tradiční bavorské kuchyně se ve srovnání s Německem utrácí o cca 9 % více peněz za maso a živočišné výrobky, přičemž konzumace masa je spojena se značnou ekologickou stopou oproti rostlinným produktům [Klebel, 2005, s. 93]. Nahrazení kilogramu živočišných potravin rostlinnými by téměř osmkrát uspořilo spotřebu přírody, při srovnání potravin živočišného původu s rýží, luštěninami a bramborami je rozdíl ještě výraznější. Protože brambory a především luštěniny mají vysoký podíl bílkovin, snížilo by zvýšení jejich konzumace spotřebu přírody až 13x a přispělo by zároveň k naplňování cílů na ochranu klimatu [tamtéž, s. 95-96]. Snížení spotřeby hovězího masa a mléka by pomohlo snížit emise skleníkového plynu metanu [tamtéž, s. 103]. Důležité je vštěpovat stravovací návyky již v dětském věku, neboť u dospělých jsou natolik zakořeněné, že se mění velmi obtížně. V souladu s Bavorskou strategií trvale udržitelného rozvoje (</w:t>
      </w:r>
      <w:r>
        <w:rPr>
          <w:i/>
          <w:sz w:val="24"/>
          <w:szCs w:val="24"/>
        </w:rPr>
        <w:t>Bayerische Nachhaltigkeitsstrategie</w:t>
      </w:r>
      <w:r>
        <w:rPr>
          <w:sz w:val="24"/>
          <w:szCs w:val="24"/>
        </w:rPr>
        <w:t xml:space="preserve">) chce bavorská vláda chránit zemědělskou a lesní půdu před zastavováním, neboť poškozené či zastavěné půdy bývají pro výrobu potravin a surovin, jakož i pro rekreaci natrvalo ztracené, filtrují méně vody, vážou méně prachu a negativně ovlivňují místní klima. Staré průmyslové a vojenské plochy budou revitalizovány [Die Bayerische …, online]. </w:t>
      </w:r>
    </w:p>
    <w:p w:rsidR="00916F64" w:rsidRPr="00916F64" w:rsidRDefault="00916F64" w:rsidP="00916F64">
      <w:pPr>
        <w:spacing w:after="240"/>
        <w:rPr>
          <w:sz w:val="28"/>
          <w:szCs w:val="28"/>
        </w:rPr>
      </w:pPr>
      <w:bookmarkStart w:id="0" w:name="_GoBack"/>
      <w:r w:rsidRPr="00916F64">
        <w:rPr>
          <w:sz w:val="28"/>
          <w:szCs w:val="28"/>
        </w:rPr>
        <w:t>POUŽITÁ LITERATURA</w:t>
      </w:r>
      <w:r w:rsidRPr="00916F64">
        <w:rPr>
          <w:sz w:val="28"/>
          <w:szCs w:val="28"/>
        </w:rPr>
        <w:t xml:space="preserve"> – viz KGS_PFIR_06B</w:t>
      </w:r>
    </w:p>
    <w:bookmarkEnd w:id="0"/>
    <w:p w:rsidR="00AE534E" w:rsidRDefault="00AE534E" w:rsidP="00F77710">
      <w:pPr>
        <w:spacing w:after="240" w:line="360" w:lineRule="auto"/>
        <w:jc w:val="both"/>
      </w:pPr>
    </w:p>
    <w:sectPr w:rsidR="00AE534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4F71" w:rsidRDefault="000E4F71" w:rsidP="00992FEF">
      <w:r>
        <w:separator/>
      </w:r>
    </w:p>
  </w:endnote>
  <w:endnote w:type="continuationSeparator" w:id="0">
    <w:p w:rsidR="000E4F71" w:rsidRDefault="000E4F71" w:rsidP="00992F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4F71" w:rsidRDefault="000E4F71" w:rsidP="00992FEF">
      <w:r>
        <w:separator/>
      </w:r>
    </w:p>
  </w:footnote>
  <w:footnote w:type="continuationSeparator" w:id="0">
    <w:p w:rsidR="000E4F71" w:rsidRDefault="000E4F71" w:rsidP="00992FE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FEF"/>
    <w:rsid w:val="000E4F71"/>
    <w:rsid w:val="001612E3"/>
    <w:rsid w:val="002D0F56"/>
    <w:rsid w:val="0030162A"/>
    <w:rsid w:val="00916F64"/>
    <w:rsid w:val="00992FEF"/>
    <w:rsid w:val="00AD3581"/>
    <w:rsid w:val="00AE534E"/>
    <w:rsid w:val="00F777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4DF81C-604D-48B3-B80C-0577B56EE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92FEF"/>
    <w:pPr>
      <w:autoSpaceDE w:val="0"/>
      <w:autoSpaceDN w:val="0"/>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992FEF"/>
  </w:style>
  <w:style w:type="character" w:customStyle="1" w:styleId="TextpoznpodarouChar">
    <w:name w:val="Text pozn. pod čarou Char"/>
    <w:basedOn w:val="Standardnpsmoodstavce"/>
    <w:link w:val="Textpoznpodarou"/>
    <w:uiPriority w:val="99"/>
    <w:semiHidden/>
    <w:rsid w:val="00992FEF"/>
    <w:rPr>
      <w:rFonts w:ascii="Times New Roman" w:eastAsia="Times New Roman" w:hAnsi="Times New Roman" w:cs="Times New Roman"/>
      <w:sz w:val="20"/>
      <w:szCs w:val="20"/>
      <w:lang w:eastAsia="cs-CZ"/>
    </w:rPr>
  </w:style>
  <w:style w:type="character" w:styleId="Znakapoznpodarou">
    <w:name w:val="footnote reference"/>
    <w:uiPriority w:val="99"/>
    <w:semiHidden/>
    <w:unhideWhenUsed/>
    <w:rsid w:val="00992FE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281286">
      <w:bodyDiv w:val="1"/>
      <w:marLeft w:val="0"/>
      <w:marRight w:val="0"/>
      <w:marTop w:val="0"/>
      <w:marBottom w:val="0"/>
      <w:divBdr>
        <w:top w:val="none" w:sz="0" w:space="0" w:color="auto"/>
        <w:left w:val="none" w:sz="0" w:space="0" w:color="auto"/>
        <w:bottom w:val="none" w:sz="0" w:space="0" w:color="auto"/>
        <w:right w:val="none" w:sz="0" w:space="0" w:color="auto"/>
      </w:divBdr>
    </w:div>
    <w:div w:id="695156886">
      <w:bodyDiv w:val="1"/>
      <w:marLeft w:val="0"/>
      <w:marRight w:val="0"/>
      <w:marTop w:val="0"/>
      <w:marBottom w:val="0"/>
      <w:divBdr>
        <w:top w:val="none" w:sz="0" w:space="0" w:color="auto"/>
        <w:left w:val="none" w:sz="0" w:space="0" w:color="auto"/>
        <w:bottom w:val="none" w:sz="0" w:space="0" w:color="auto"/>
        <w:right w:val="none" w:sz="0" w:space="0" w:color="auto"/>
      </w:divBdr>
    </w:div>
    <w:div w:id="93142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742</Words>
  <Characters>4384</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Městská část Praha 10</Company>
  <LinksUpToDate>false</LinksUpToDate>
  <CharactersWithSpaces>5116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ZMČ Vávra Zdeněk, Ing. (ÚMČ Praha 10)</dc:creator>
  <cp:keywords/>
  <dc:description/>
  <cp:lastModifiedBy>ZMČ Vávra Zdeněk, Ing. (ÚMČ Praha 10)</cp:lastModifiedBy>
  <cp:revision>5</cp:revision>
  <dcterms:created xsi:type="dcterms:W3CDTF">2017-01-11T14:33:00Z</dcterms:created>
  <dcterms:modified xsi:type="dcterms:W3CDTF">2017-01-11T14:44:00Z</dcterms:modified>
</cp:coreProperties>
</file>