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FEF" w:rsidRPr="00992FEF" w:rsidRDefault="00332BE6" w:rsidP="00992FEF">
      <w:pPr>
        <w:spacing w:after="240"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VODSTVO A REKREAČNÍ PLOCHY V BAVORSKU</w:t>
      </w:r>
    </w:p>
    <w:p w:rsidR="00332BE6" w:rsidRDefault="00332BE6" w:rsidP="00332BE6">
      <w:pPr>
        <w:spacing w:after="240" w:line="360" w:lineRule="auto"/>
        <w:jc w:val="both"/>
        <w:rPr>
          <w:rFonts w:ascii="Arial" w:hAnsi="Arial" w:cs="Arial"/>
          <w:sz w:val="19"/>
          <w:szCs w:val="19"/>
          <w:highlight w:val="magenta"/>
        </w:rPr>
      </w:pPr>
      <w:r>
        <w:rPr>
          <w:color w:val="000000"/>
          <w:sz w:val="24"/>
          <w:szCs w:val="24"/>
        </w:rPr>
        <w:t>Podíl vodstva na ploše Bavorska činí 6 %, což se blíží německému průměru (7 %) [Achtziger, 2014, s. 107]. Celkovou plochou jezer (403 km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) zaujímá Bavorsko třetí místo za Meklenburskem-Předním Pomořanskem (680 km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) a Braniborskem (547 km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).  Bavorsko má společně s Bádenskem-Württemberskem, Rakouskem a Švýcarskem podíl na Bodamském jezeru (</w:t>
      </w:r>
      <w:r>
        <w:rPr>
          <w:i/>
          <w:color w:val="000000"/>
          <w:sz w:val="24"/>
          <w:szCs w:val="24"/>
        </w:rPr>
        <w:t>Bodensee</w:t>
      </w:r>
      <w:r>
        <w:rPr>
          <w:color w:val="000000"/>
          <w:sz w:val="24"/>
          <w:szCs w:val="24"/>
        </w:rPr>
        <w:t>), největším jezeru střední Evropy. V rámci Bavorska je plochou největší Chiemské jezero (</w:t>
      </w:r>
      <w:r>
        <w:rPr>
          <w:i/>
          <w:color w:val="000000"/>
          <w:sz w:val="24"/>
          <w:szCs w:val="24"/>
        </w:rPr>
        <w:t>Chiemsee</w:t>
      </w:r>
      <w:r>
        <w:rPr>
          <w:color w:val="000000"/>
          <w:sz w:val="24"/>
          <w:szCs w:val="24"/>
        </w:rPr>
        <w:t>), nazývané také „Bavorské moře“, následuje Starnberské (</w:t>
      </w:r>
      <w:r>
        <w:rPr>
          <w:i/>
          <w:color w:val="000000"/>
          <w:sz w:val="24"/>
          <w:szCs w:val="24"/>
        </w:rPr>
        <w:t>Starnberger See</w:t>
      </w:r>
      <w:r>
        <w:rPr>
          <w:color w:val="000000"/>
          <w:sz w:val="24"/>
          <w:szCs w:val="24"/>
        </w:rPr>
        <w:t>) a Ammerské jezero (</w:t>
      </w:r>
      <w:r>
        <w:rPr>
          <w:i/>
          <w:color w:val="000000"/>
          <w:sz w:val="24"/>
          <w:szCs w:val="24"/>
        </w:rPr>
        <w:t>Ammersee</w:t>
      </w:r>
      <w:r>
        <w:rPr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>[Eisenschmid, 2014, s. 10]</w:t>
      </w:r>
      <w:r>
        <w:rPr>
          <w:color w:val="000000"/>
          <w:sz w:val="24"/>
          <w:szCs w:val="24"/>
        </w:rPr>
        <w:t>. Oproti rovinaté krajině Meklenburska-Předního Pomořanska a Braniborska s množstvím větších jezer nad 0,5 km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, má v Bavorsku téměř 50 % jezer rozlohu do 0,5 km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 xml:space="preserve"> [Achtziger, 2014, s. 106]. Menší jezera, která se vyskytují hojně v Alpách a Bavorském Předalpí (</w:t>
      </w:r>
      <w:r>
        <w:rPr>
          <w:i/>
          <w:color w:val="000000"/>
          <w:sz w:val="24"/>
          <w:szCs w:val="24"/>
        </w:rPr>
        <w:t>Bayerische Voralpen</w:t>
      </w:r>
      <w:r>
        <w:rPr>
          <w:color w:val="000000"/>
          <w:sz w:val="24"/>
          <w:szCs w:val="24"/>
        </w:rPr>
        <w:t>), vznikala během dob ledových, kdy ledovce vytvořily typická údolí a morény. Severně od Francké Alby se nacházejí přehrady, které slouží k vodní regulaci severního Bavorska a k přívodu vody do kanálu Mohan-Dunaj (</w:t>
      </w:r>
      <w:r>
        <w:rPr>
          <w:i/>
          <w:color w:val="000000"/>
          <w:sz w:val="24"/>
          <w:szCs w:val="24"/>
        </w:rPr>
        <w:t>Main-Donau-Kanal</w:t>
      </w:r>
      <w:r>
        <w:rPr>
          <w:color w:val="000000"/>
          <w:sz w:val="24"/>
          <w:szCs w:val="24"/>
        </w:rPr>
        <w:t>). Celkem je v Bavorsku 4200 vodních elektráren, přičemž je snaha potenciál vodní energetiky při zohlednění ochrany přírody ještě navýšit [Allgemeine Daten …, online]. Délkou tekoucích vod (25,5 tis. km, tj. 18 % z celkové délky vodních toků v Německu) zaujímá Bavorsko první místo před Dolním Saskem a Severním Porýním-Vestfálskem [Achtziger, 2014, s. 105]. Podle délky toku na bavorském území jsou nejdelšími řekami Mohan, Dunaj, Isar, Inn a Altmühl. Bavorskem prochází hlavní evropské rozvodí (</w:t>
      </w:r>
      <w:r w:rsidRPr="00332BE6">
        <w:rPr>
          <w:i/>
          <w:color w:val="000000"/>
          <w:sz w:val="24"/>
          <w:szCs w:val="24"/>
        </w:rPr>
        <w:t>Europäische Hauptwasserscheide</w:t>
      </w:r>
      <w:r>
        <w:rPr>
          <w:color w:val="000000"/>
          <w:sz w:val="24"/>
          <w:szCs w:val="24"/>
        </w:rPr>
        <w:t>), které se nachází mezi povodím Rýna v severní části a povodím Dunaje v jižní části Bavorska. Ochraně vody se v Bavorsku věnuje velká pozornost, je zde téměř 3250 ochranných vodních pásem. Z veřejných prostředků bylo vybudováno 2640 komunálních čističek vody, které pokrývají 96,4 % obyvatel [Allgemeine Daten …, online]. Cílem bylo zajistit v roce 2015 pokrytí 97 % obyvatel a zbylá 3 % vyřešit malými čističkami [Die Bayerische …, online]. Jako problém se jeví pronikání škodlivých látek do spodních vod, tento trend chce Bavorsko do roku 2020 zvrátit. Akce na ochranu spodních vod, které probíhají v Dolních a Horních Frankách, mají být rozšířeny na další vládní okresy. Dalším cílem je dosáhnout ekologicky a chemicky dobrého stavu ve smyslu evropské rámcové směrnice o vodní politice (</w:t>
      </w:r>
      <w:r>
        <w:rPr>
          <w:i/>
          <w:color w:val="000000"/>
          <w:sz w:val="24"/>
          <w:szCs w:val="24"/>
        </w:rPr>
        <w:t>EU-Wasserrahmenrichtlinie - WRRL</w:t>
      </w:r>
      <w:r>
        <w:rPr>
          <w:color w:val="000000"/>
          <w:sz w:val="24"/>
          <w:szCs w:val="24"/>
        </w:rPr>
        <w:t>) ve všech vodstvech Bavorska do roku 2027. Akční program na ochranu před povodněmi 2020 (</w:t>
      </w:r>
      <w:r>
        <w:rPr>
          <w:i/>
          <w:color w:val="000000"/>
          <w:sz w:val="24"/>
          <w:szCs w:val="24"/>
        </w:rPr>
        <w:t>Hochwasserschutz-Aktionsprogramm 2020</w:t>
      </w:r>
      <w:r>
        <w:rPr>
          <w:color w:val="000000"/>
          <w:sz w:val="24"/>
          <w:szCs w:val="24"/>
        </w:rPr>
        <w:t xml:space="preserve">) se snaží vypořádat s rostoucími nároky na protipovodňová opatření v souvislosti s klimatickými změnami [tamtéž]. Úlohu v hospodaření s vodou sehrávají též municipality (např. úsporné zavlažování sportovišť a parků, využívání propustné dlažby, </w:t>
      </w:r>
      <w:r>
        <w:rPr>
          <w:color w:val="000000"/>
          <w:sz w:val="24"/>
          <w:szCs w:val="24"/>
        </w:rPr>
        <w:lastRenderedPageBreak/>
        <w:t xml:space="preserve">kontrola zemědělců při nakládání s hnojivy a močůvkou, udržování čistoty u vodních zdrojů, minimalizace ztrát z vodovodních sítí) [Hutter, 2012, s. 338].  Důležité je udržování volných prostranství podél vodních ploch, a to nejen z hlediska ochrany přírody, ale také z hlediska rekreační funkce, kterou jezera, přehrady, řeky či tůně poskytují domácímu obyvatelstvu a turistům (14 % návštěvníků Bavorska uvádí vodní aktivity jako cíl svých cest do Bavorska) [Tourismus …, 2015, s. 21]. Vedle vodních ploch (např. Chiemské jezero, jezero Königsee, Francká jezerní krajina – </w:t>
      </w:r>
      <w:r>
        <w:rPr>
          <w:i/>
          <w:color w:val="000000"/>
          <w:sz w:val="24"/>
          <w:szCs w:val="24"/>
        </w:rPr>
        <w:t>Fränkisches Seenland</w:t>
      </w:r>
      <w:r>
        <w:rPr>
          <w:color w:val="000000"/>
          <w:sz w:val="24"/>
          <w:szCs w:val="24"/>
        </w:rPr>
        <w:t xml:space="preserve">), Alp (např. oblast Zugspitze, jezera Tegernsee a Schliersee), měst (Mnichov, Würzburg, Rothenburg ob der Tauber atd.) a památek UNESCO (mj. Bamberg, Bayreuth, prehistorická kůlová obydlí – </w:t>
      </w:r>
      <w:r>
        <w:rPr>
          <w:i/>
          <w:color w:val="000000"/>
          <w:sz w:val="24"/>
          <w:szCs w:val="24"/>
        </w:rPr>
        <w:t>Prähistorische Pfahlbauten</w:t>
      </w:r>
      <w:r>
        <w:rPr>
          <w:color w:val="000000"/>
          <w:sz w:val="24"/>
          <w:szCs w:val="24"/>
        </w:rPr>
        <w:t xml:space="preserve">) jsou hojně navštěvovány též volnočasové parky, z nichž některé (Legoland v Günzburgu, vodní park Galaxy v Erdingu a Freizeit-Land v Geiselwindu) přilákají přes milion návštěvníků ročně </w:t>
      </w:r>
      <w:r>
        <w:rPr>
          <w:sz w:val="24"/>
          <w:szCs w:val="24"/>
        </w:rPr>
        <w:t>[Eisenschmid, 2014, s. 62, 99-100]</w:t>
      </w:r>
      <w:r>
        <w:rPr>
          <w:color w:val="000000"/>
          <w:sz w:val="24"/>
          <w:szCs w:val="24"/>
        </w:rPr>
        <w:t xml:space="preserve">. Mezi zoologickými zahradami se popularitě těší Mnichov, Norimberk, Augsburg a Straubing </w:t>
      </w:r>
      <w:r>
        <w:rPr>
          <w:sz w:val="24"/>
          <w:szCs w:val="24"/>
        </w:rPr>
        <w:t>[tamtéž, s. 86]</w:t>
      </w:r>
      <w:r>
        <w:rPr>
          <w:color w:val="000000"/>
          <w:sz w:val="24"/>
          <w:szCs w:val="24"/>
        </w:rPr>
        <w:t>. Z hlediska ochrany přírody jsou významné botanické zahrady. Jejich velká část patří univerzitám nebo jiným vědeckým institucím, které plní výzkumné úkoly. V evropském kontextu je významná botanická zahrada v Bayreuthu, speciální témata mají i Řezno (ohrožené druhy Bavorska), Augsburg (evropské a subtropické užitkové rostliny, aromatické rostliny) a Erlangen (alpinská vegetace, sukulenty). Soubor doplňují botanické zahrady v Mnichově, Freisingu, Hofu a Würzburgu, z nichž každá je individuum a návštěvnický magnet [Wittig, 2014, s. 462-470].</w:t>
      </w:r>
    </w:p>
    <w:p w:rsidR="000F5FFC" w:rsidRDefault="000F5FFC" w:rsidP="000F5FFC">
      <w:pPr>
        <w:spacing w:after="240"/>
        <w:rPr>
          <w:sz w:val="28"/>
          <w:szCs w:val="28"/>
        </w:rPr>
      </w:pPr>
      <w:r>
        <w:rPr>
          <w:sz w:val="28"/>
          <w:szCs w:val="28"/>
        </w:rPr>
        <w:t>POUŽITÁ LITERATURA – viz KGS_PFIR_06B</w:t>
      </w:r>
    </w:p>
    <w:p w:rsidR="00AE534E" w:rsidRDefault="00AE534E" w:rsidP="00332BE6">
      <w:pPr>
        <w:spacing w:after="240" w:line="360" w:lineRule="auto"/>
        <w:jc w:val="both"/>
      </w:pPr>
      <w:bookmarkStart w:id="0" w:name="_GoBack"/>
      <w:bookmarkEnd w:id="0"/>
    </w:p>
    <w:sectPr w:rsidR="00AE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4C0" w:rsidRDefault="009974C0" w:rsidP="00992FEF">
      <w:r>
        <w:separator/>
      </w:r>
    </w:p>
  </w:endnote>
  <w:endnote w:type="continuationSeparator" w:id="0">
    <w:p w:rsidR="009974C0" w:rsidRDefault="009974C0" w:rsidP="0099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4C0" w:rsidRDefault="009974C0" w:rsidP="00992FEF">
      <w:r>
        <w:separator/>
      </w:r>
    </w:p>
  </w:footnote>
  <w:footnote w:type="continuationSeparator" w:id="0">
    <w:p w:rsidR="009974C0" w:rsidRDefault="009974C0" w:rsidP="00992F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EF"/>
    <w:rsid w:val="00047DCB"/>
    <w:rsid w:val="000F5FFC"/>
    <w:rsid w:val="001612E3"/>
    <w:rsid w:val="002D0F56"/>
    <w:rsid w:val="0030162A"/>
    <w:rsid w:val="00332BE6"/>
    <w:rsid w:val="004545DE"/>
    <w:rsid w:val="006010D8"/>
    <w:rsid w:val="00605D17"/>
    <w:rsid w:val="00694AEB"/>
    <w:rsid w:val="00992FEF"/>
    <w:rsid w:val="009974C0"/>
    <w:rsid w:val="00AD3581"/>
    <w:rsid w:val="00AE534E"/>
    <w:rsid w:val="00C30220"/>
    <w:rsid w:val="00D21C2C"/>
    <w:rsid w:val="00F7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DF81C-604D-48B3-B80C-0577B56EE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2FE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92FE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92F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992F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661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4</cp:revision>
  <dcterms:created xsi:type="dcterms:W3CDTF">2017-01-11T14:38:00Z</dcterms:created>
  <dcterms:modified xsi:type="dcterms:W3CDTF">2017-01-11T14:45:00Z</dcterms:modified>
</cp:coreProperties>
</file>