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92FEF" w:rsidRPr="00992FEF" w:rsidRDefault="009B3FE3" w:rsidP="00992FEF">
      <w:pPr>
        <w:spacing w:after="240" w:line="360" w:lineRule="auto"/>
        <w:jc w:val="center"/>
        <w:rPr>
          <w:b/>
          <w:sz w:val="36"/>
          <w:szCs w:val="36"/>
        </w:rPr>
      </w:pPr>
      <w:r>
        <w:rPr>
          <w:b/>
          <w:sz w:val="36"/>
          <w:szCs w:val="36"/>
        </w:rPr>
        <w:t>DOPRAVA, ZASTAVĚNÁ ÚZEMÍ A PODNIKOVÉ PLOCHY</w:t>
      </w:r>
      <w:r w:rsidR="00332BE6">
        <w:rPr>
          <w:b/>
          <w:sz w:val="36"/>
          <w:szCs w:val="36"/>
        </w:rPr>
        <w:t xml:space="preserve"> V BAVORSKU</w:t>
      </w:r>
    </w:p>
    <w:p w:rsidR="00AE534E" w:rsidRDefault="009B3FE3" w:rsidP="00332BE6">
      <w:pPr>
        <w:spacing w:after="240" w:line="360" w:lineRule="auto"/>
        <w:jc w:val="both"/>
        <w:rPr>
          <w:sz w:val="24"/>
          <w:szCs w:val="24"/>
        </w:rPr>
      </w:pPr>
      <w:r>
        <w:rPr>
          <w:color w:val="000000"/>
          <w:sz w:val="24"/>
          <w:szCs w:val="24"/>
        </w:rPr>
        <w:t>Dopravní síť v Bavorsku zaujímá cca 5 % plochy území spolkové země. Silniční síť disponuje 2500 km dálnic (</w:t>
      </w:r>
      <w:proofErr w:type="spellStart"/>
      <w:r>
        <w:rPr>
          <w:i/>
          <w:color w:val="000000"/>
          <w:sz w:val="24"/>
          <w:szCs w:val="24"/>
        </w:rPr>
        <w:t>Bundesautobahn</w:t>
      </w:r>
      <w:proofErr w:type="spellEnd"/>
      <w:r>
        <w:rPr>
          <w:color w:val="000000"/>
          <w:sz w:val="24"/>
          <w:szCs w:val="24"/>
        </w:rPr>
        <w:t>) a 6300 km silnic 1. třídy (</w:t>
      </w:r>
      <w:proofErr w:type="spellStart"/>
      <w:r>
        <w:rPr>
          <w:i/>
          <w:color w:val="000000"/>
          <w:sz w:val="24"/>
          <w:szCs w:val="24"/>
        </w:rPr>
        <w:t>Bundesstraße</w:t>
      </w:r>
      <w:proofErr w:type="spellEnd"/>
      <w:r>
        <w:rPr>
          <w:color w:val="000000"/>
          <w:sz w:val="24"/>
          <w:szCs w:val="24"/>
        </w:rPr>
        <w:t xml:space="preserve">). Hlavní křižovatkou dálnic je Norimberk, kde se protínají dálnice směrem na Berlín, Duisburg, Saarbrücken, Mnichov, Rakousko a Českou republiku </w:t>
      </w:r>
      <w:r>
        <w:rPr>
          <w:sz w:val="24"/>
          <w:szCs w:val="24"/>
        </w:rPr>
        <w:t>[</w:t>
      </w:r>
      <w:proofErr w:type="spellStart"/>
      <w:r>
        <w:rPr>
          <w:sz w:val="24"/>
          <w:szCs w:val="24"/>
        </w:rPr>
        <w:t>Eisenschmid</w:t>
      </w:r>
      <w:proofErr w:type="spellEnd"/>
      <w:r>
        <w:rPr>
          <w:sz w:val="24"/>
          <w:szCs w:val="24"/>
        </w:rPr>
        <w:t>, 2014, s. 46]</w:t>
      </w:r>
      <w:r>
        <w:rPr>
          <w:color w:val="000000"/>
          <w:sz w:val="24"/>
          <w:szCs w:val="24"/>
        </w:rPr>
        <w:t xml:space="preserve">. Bavorsko má mezi deseti největšími německými letišti dvě letiště: Mnichov (2. místo) a Norimberk (10. místo). Současné letiště v Mnichově zahájilo provoz až v roce 1992 a zaznamenává setrvalý nárůst počtu pasažérů (z 23 mil. v roce 2002 na téměř 39 mil. v roce 2013). Oproti tomu starší letiště v Norimberku (otevřeno v roce 1955) drží v posledních deseti letech počet pasažérů stabilně kolem 3 milionů ročně </w:t>
      </w:r>
      <w:r>
        <w:rPr>
          <w:sz w:val="24"/>
          <w:szCs w:val="24"/>
        </w:rPr>
        <w:t>[tamtéž, s. 47]</w:t>
      </w:r>
      <w:r>
        <w:rPr>
          <w:color w:val="000000"/>
          <w:sz w:val="24"/>
          <w:szCs w:val="24"/>
        </w:rPr>
        <w:t xml:space="preserve">. Hustá je i síť železniční s 1051 nádražími a zastávkami. Nejvýše položené nádraží Německa se nachází na Zugspitze ve výšce 2590 m, kam vede ozubnicová dráha. Druhá ozubnicová dráha v Horním Bavorsku vede na </w:t>
      </w:r>
      <w:proofErr w:type="spellStart"/>
      <w:r>
        <w:rPr>
          <w:color w:val="000000"/>
          <w:sz w:val="24"/>
          <w:szCs w:val="24"/>
        </w:rPr>
        <w:t>Wendelstein</w:t>
      </w:r>
      <w:proofErr w:type="spellEnd"/>
      <w:r>
        <w:rPr>
          <w:color w:val="000000"/>
          <w:sz w:val="24"/>
          <w:szCs w:val="24"/>
        </w:rPr>
        <w:t xml:space="preserve"> </w:t>
      </w:r>
      <w:r>
        <w:rPr>
          <w:sz w:val="24"/>
          <w:szCs w:val="24"/>
        </w:rPr>
        <w:t>[tamtéž, s. 48]</w:t>
      </w:r>
      <w:r>
        <w:rPr>
          <w:color w:val="000000"/>
          <w:sz w:val="24"/>
          <w:szCs w:val="24"/>
        </w:rPr>
        <w:t xml:space="preserve">. V Bavorsku je v provozu 111 lanovek, což je s velkým odstupem nejvíce v celém Německu (následuje Severní Porýní Vestfálsko s 15 a Bádensko-Württembersko s 11) </w:t>
      </w:r>
      <w:r>
        <w:rPr>
          <w:sz w:val="24"/>
          <w:szCs w:val="24"/>
        </w:rPr>
        <w:t>[tamtéž, s. 50]</w:t>
      </w:r>
      <w:r>
        <w:rPr>
          <w:color w:val="000000"/>
          <w:sz w:val="24"/>
          <w:szCs w:val="24"/>
        </w:rPr>
        <w:t xml:space="preserve">. Doprava, zejména silniční, sebou však nese i vážná negativa. Počet zemřelých se sice od roku 1970 snížil více než pětkrát, a to zejména díky úsekům s omezenou rychlostí, povinnosti používat bezpečnostní pásy, lepšímu vybavení aut (systémy ABS, ESP, protiskluzové systémy, airbagy aj.), odstranění komerční reklamy u dálnic a bezpečnostní osvětě (např. kampaň </w:t>
      </w:r>
      <w:r>
        <w:rPr>
          <w:i/>
          <w:color w:val="000000"/>
          <w:sz w:val="24"/>
          <w:szCs w:val="24"/>
        </w:rPr>
        <w:t>„</w:t>
      </w:r>
      <w:proofErr w:type="spellStart"/>
      <w:r>
        <w:rPr>
          <w:i/>
          <w:color w:val="000000"/>
          <w:sz w:val="24"/>
          <w:szCs w:val="24"/>
        </w:rPr>
        <w:t>Runter</w:t>
      </w:r>
      <w:proofErr w:type="spellEnd"/>
      <w:r>
        <w:rPr>
          <w:i/>
          <w:color w:val="000000"/>
          <w:sz w:val="24"/>
          <w:szCs w:val="24"/>
        </w:rPr>
        <w:t xml:space="preserve"> </w:t>
      </w:r>
      <w:proofErr w:type="spellStart"/>
      <w:r>
        <w:rPr>
          <w:i/>
          <w:color w:val="000000"/>
          <w:sz w:val="24"/>
          <w:szCs w:val="24"/>
        </w:rPr>
        <w:t>vom</w:t>
      </w:r>
      <w:proofErr w:type="spellEnd"/>
      <w:r>
        <w:rPr>
          <w:i/>
          <w:color w:val="000000"/>
          <w:sz w:val="24"/>
          <w:szCs w:val="24"/>
        </w:rPr>
        <w:t xml:space="preserve"> </w:t>
      </w:r>
      <w:proofErr w:type="spellStart"/>
      <w:r>
        <w:rPr>
          <w:i/>
          <w:color w:val="000000"/>
          <w:sz w:val="24"/>
          <w:szCs w:val="24"/>
        </w:rPr>
        <w:t>Gas</w:t>
      </w:r>
      <w:proofErr w:type="spellEnd"/>
      <w:r>
        <w:rPr>
          <w:i/>
          <w:color w:val="000000"/>
          <w:sz w:val="24"/>
          <w:szCs w:val="24"/>
        </w:rPr>
        <w:t>!</w:t>
      </w:r>
      <w:r>
        <w:rPr>
          <w:color w:val="000000"/>
          <w:sz w:val="24"/>
          <w:szCs w:val="24"/>
        </w:rPr>
        <w:t>“</w:t>
      </w:r>
      <w:r>
        <w:rPr>
          <w:rStyle w:val="Znakapoznpodarou"/>
          <w:color w:val="000000"/>
          <w:sz w:val="24"/>
          <w:szCs w:val="24"/>
        </w:rPr>
        <w:footnoteReference w:id="1"/>
      </w:r>
      <w:r>
        <w:rPr>
          <w:color w:val="000000"/>
          <w:sz w:val="24"/>
          <w:szCs w:val="24"/>
        </w:rPr>
        <w:t xml:space="preserve"> znázorňující expresivním způsobem dopady rychlé jízdy a nepozornosti), stále však umírá v Bavorsku ročně kolem 680 lidí na silnicích (četnost úmrtí v pořadí: spolujezdci, řidiči, cyklisté) </w:t>
      </w:r>
      <w:r>
        <w:rPr>
          <w:sz w:val="24"/>
          <w:szCs w:val="24"/>
        </w:rPr>
        <w:t>[tamtéž, s. 49]</w:t>
      </w:r>
      <w:r>
        <w:rPr>
          <w:color w:val="000000"/>
          <w:sz w:val="24"/>
          <w:szCs w:val="24"/>
        </w:rPr>
        <w:t xml:space="preserve">.  Každoročně nacházejí na německých silnicích smrt zvířata – mj. srny, jeleni, divoká prasata, zajíci, králíci (např. v roce 2004 bylo v SRN zabito na silnicích 220 tis. srn, což odpovídá počtu 600 za den) </w:t>
      </w:r>
      <w:r>
        <w:rPr>
          <w:sz w:val="24"/>
          <w:szCs w:val="24"/>
        </w:rPr>
        <w:t>[</w:t>
      </w:r>
      <w:proofErr w:type="spellStart"/>
      <w:r>
        <w:rPr>
          <w:sz w:val="24"/>
          <w:szCs w:val="24"/>
        </w:rPr>
        <w:t>Markl</w:t>
      </w:r>
      <w:proofErr w:type="spellEnd"/>
      <w:r>
        <w:rPr>
          <w:sz w:val="24"/>
          <w:szCs w:val="24"/>
        </w:rPr>
        <w:t>, 2005, s. 74].</w:t>
      </w:r>
      <w:r>
        <w:rPr>
          <w:color w:val="000000"/>
          <w:sz w:val="24"/>
          <w:szCs w:val="24"/>
        </w:rPr>
        <w:t xml:space="preserve"> Nárůst individuální dopravy, dopravy mezi západní a východní Evropou po rozšíření EU a výstavba nových obytných a podnikatelských ploch vede k omezenému pohybu zvěře, což má negativní vliv na její genetický fond. Proti tomuto trendu navrhuje opatření ADAC a Zemský myslivecký svaz Bavorska. Zatímco ochranných tunelů se zvěř bojí a varovná světla se ukázala neúčinná (srny vnímají červenou barvu jako šedý odstín), dosáhlo se úspěchu zřizováním ochranných plotů, plotů s vůněmi odpuzujícími zvěř (geneticky manifestované látky získané od člověka, medvěda, vlka a rysa) a zejména </w:t>
      </w:r>
      <w:proofErr w:type="spellStart"/>
      <w:r>
        <w:rPr>
          <w:color w:val="000000"/>
          <w:sz w:val="24"/>
          <w:szCs w:val="24"/>
        </w:rPr>
        <w:t>ekodukty</w:t>
      </w:r>
      <w:proofErr w:type="spellEnd"/>
      <w:r>
        <w:rPr>
          <w:color w:val="000000"/>
          <w:sz w:val="24"/>
          <w:szCs w:val="24"/>
        </w:rPr>
        <w:t xml:space="preserve">, tj. mosty pro zvířata. Tyto mosty se po Francii a Švýcarsku </w:t>
      </w:r>
      <w:r>
        <w:rPr>
          <w:color w:val="000000"/>
          <w:sz w:val="24"/>
          <w:szCs w:val="24"/>
        </w:rPr>
        <w:lastRenderedPageBreak/>
        <w:t xml:space="preserve">stávají standardem při výstavbě dálnic i v Bavorsku </w:t>
      </w:r>
      <w:r>
        <w:rPr>
          <w:sz w:val="24"/>
          <w:szCs w:val="24"/>
        </w:rPr>
        <w:t>[tamtéž, s. 75]</w:t>
      </w:r>
      <w:r>
        <w:rPr>
          <w:color w:val="000000"/>
          <w:sz w:val="24"/>
          <w:szCs w:val="24"/>
        </w:rPr>
        <w:t xml:space="preserve">. Pro českou realitu by se tento přístup mohl stát inspirací, aby se na </w:t>
      </w:r>
      <w:proofErr w:type="spellStart"/>
      <w:r>
        <w:rPr>
          <w:color w:val="000000"/>
          <w:sz w:val="24"/>
          <w:szCs w:val="24"/>
        </w:rPr>
        <w:t>ekodukty</w:t>
      </w:r>
      <w:proofErr w:type="spellEnd"/>
      <w:r>
        <w:rPr>
          <w:color w:val="000000"/>
          <w:sz w:val="24"/>
          <w:szCs w:val="24"/>
        </w:rPr>
        <w:t xml:space="preserve"> nezapomínalo, jak např. v roce 2009 upozorňovali ochránci přírody na novém úseku dálnice D1 na Novojičínsku </w:t>
      </w:r>
      <w:r>
        <w:rPr>
          <w:sz w:val="24"/>
          <w:szCs w:val="24"/>
        </w:rPr>
        <w:t>[Nové dálnici …, online].</w:t>
      </w:r>
      <w:r>
        <w:rPr>
          <w:color w:val="000000"/>
          <w:sz w:val="24"/>
          <w:szCs w:val="24"/>
        </w:rPr>
        <w:t xml:space="preserve"> Doprava má též dopad na ekologickou stopu, přičemž nejzásadnější důsledky sebou nese opět silniční doprava (87 % podíl na ekologické stopě bavorské dopravy oproti 6 % u veřejné dopravy). Ekologickou stopu v rámci silniční dopravy tvoří převážně doprava individuální (80 %). Vedle spotřeby paliv se k ekologické stopě přidává spotřeba energie a materiálů na výrobu vozidel a jejich servis, na údržbu dopravních cest a instalaci osvětlení </w:t>
      </w:r>
      <w:r>
        <w:rPr>
          <w:sz w:val="24"/>
          <w:szCs w:val="24"/>
        </w:rPr>
        <w:t>[</w:t>
      </w:r>
      <w:proofErr w:type="spellStart"/>
      <w:r>
        <w:rPr>
          <w:sz w:val="24"/>
          <w:szCs w:val="24"/>
        </w:rPr>
        <w:t>Klebel</w:t>
      </w:r>
      <w:proofErr w:type="spellEnd"/>
      <w:r>
        <w:rPr>
          <w:sz w:val="24"/>
          <w:szCs w:val="24"/>
        </w:rPr>
        <w:t>, 2005, s. 95]. Auto vůči autobusu MHD vykazuje přibližně čtyřnásobnou ekologickou stopu. Cílem je alokovat část individuální dopravy do veřejné dopravy a realizovat kratší cesty pěšky nebo na kole. Podle provedených studií má sice auto v Bavorsku vysokou prestiž, nicméně je obyvatelstvo (s výjimkou odlehlých sídel v infrastrukturně slabých oblastech) připraveno akceptovat i jiné druhy mobility ve prospěch životního prostředí. Rovněž je mezi obyvatelstvem podpora pro přeložení části nákladní dopravy na koleje a na vodní cesty, což vede ke snížení emisí a hluku [tamtéž, s. 102]. Problematice hluku se věnuje Bavorský zemský úřad pro životní prostředí (např. hladina hluku z parkoviště u nákupního centra činí průměrně 66 dB) [</w:t>
      </w:r>
      <w:proofErr w:type="spellStart"/>
      <w:r>
        <w:rPr>
          <w:sz w:val="24"/>
          <w:szCs w:val="24"/>
        </w:rPr>
        <w:t>Holzmann</w:t>
      </w:r>
      <w:proofErr w:type="spellEnd"/>
      <w:r>
        <w:rPr>
          <w:sz w:val="24"/>
          <w:szCs w:val="24"/>
        </w:rPr>
        <w:t>, 1994, s. 36]. Díky doporučeným postupům se daří budovat dopravní cesty a parkoviště méně hlučná a stížností obyvatel ubylo [tamtéž, s. 61]. Pozornost se v Bavorské strategii trvale udržitelného rozvoje věnuje mj. rodinám s dětmi a seniorům, jejichž potřeby v souvislosti s demografickými změnami je třeba v dopravní infrastruktuře respektovat, bezbariérovosti pro postižené občany, zlepšování technického stavu vozidel, bezpečnosti silničního provozu, spolehlivosti MHD, právům cestujících, využití biopaliv a dopravní koncepci v Rámcovém plánu pro řízení dopravy v Bavorsku 2015 (</w:t>
      </w:r>
      <w:proofErr w:type="spellStart"/>
      <w:r>
        <w:rPr>
          <w:i/>
          <w:sz w:val="24"/>
          <w:szCs w:val="24"/>
        </w:rPr>
        <w:t>Rahmenplan</w:t>
      </w:r>
      <w:proofErr w:type="spellEnd"/>
      <w:r>
        <w:rPr>
          <w:i/>
          <w:sz w:val="24"/>
          <w:szCs w:val="24"/>
        </w:rPr>
        <w:t xml:space="preserve"> </w:t>
      </w:r>
      <w:proofErr w:type="spellStart"/>
      <w:r>
        <w:rPr>
          <w:i/>
          <w:sz w:val="24"/>
          <w:szCs w:val="24"/>
        </w:rPr>
        <w:t>Verkehrsmanagement</w:t>
      </w:r>
      <w:proofErr w:type="spellEnd"/>
      <w:r>
        <w:rPr>
          <w:i/>
          <w:sz w:val="24"/>
          <w:szCs w:val="24"/>
        </w:rPr>
        <w:t xml:space="preserve"> </w:t>
      </w:r>
      <w:proofErr w:type="spellStart"/>
      <w:r>
        <w:rPr>
          <w:i/>
          <w:sz w:val="24"/>
          <w:szCs w:val="24"/>
        </w:rPr>
        <w:t>Bayern</w:t>
      </w:r>
      <w:proofErr w:type="spellEnd"/>
      <w:r>
        <w:rPr>
          <w:i/>
          <w:sz w:val="24"/>
          <w:szCs w:val="24"/>
        </w:rPr>
        <w:t xml:space="preserve"> 2015</w:t>
      </w:r>
      <w:r>
        <w:rPr>
          <w:sz w:val="24"/>
          <w:szCs w:val="24"/>
        </w:rPr>
        <w:t xml:space="preserve">) [Die </w:t>
      </w:r>
      <w:proofErr w:type="spellStart"/>
      <w:r>
        <w:rPr>
          <w:sz w:val="24"/>
          <w:szCs w:val="24"/>
        </w:rPr>
        <w:t>Bayerische</w:t>
      </w:r>
      <w:proofErr w:type="spellEnd"/>
      <w:r>
        <w:rPr>
          <w:sz w:val="24"/>
          <w:szCs w:val="24"/>
        </w:rPr>
        <w:t xml:space="preserve"> …, online]. Zastavěné a podnikové plochy z</w:t>
      </w:r>
      <w:r>
        <w:rPr>
          <w:color w:val="000000"/>
          <w:sz w:val="24"/>
          <w:szCs w:val="24"/>
        </w:rPr>
        <w:t>aujímají přes 6 % plochy území spolkové země. V aglomeracích panuje jiné klima než ve venkovských oblastech (desetinásobné znečištění vzduchu, dvakrát vyšší výskyt bezvětří, o 3-10</w:t>
      </w:r>
      <w:r>
        <w:rPr>
          <w:color w:val="000000"/>
          <w:sz w:val="24"/>
          <w:szCs w:val="24"/>
          <w:vertAlign w:val="superscript"/>
        </w:rPr>
        <w:t>o</w:t>
      </w:r>
      <w:r>
        <w:rPr>
          <w:color w:val="000000"/>
          <w:sz w:val="24"/>
          <w:szCs w:val="24"/>
        </w:rPr>
        <w:t xml:space="preserve"> C vyšší maximální teplotní rozdíly, o 7 % nižší relativní vlhkost, o 10 % vyšší dešťové srážky, o 5 % nižší sněhové srážky, o 65 % nižší výskyt rosy) </w:t>
      </w:r>
      <w:r>
        <w:rPr>
          <w:sz w:val="24"/>
          <w:szCs w:val="24"/>
        </w:rPr>
        <w:t>[</w:t>
      </w:r>
      <w:proofErr w:type="spellStart"/>
      <w:r>
        <w:rPr>
          <w:sz w:val="24"/>
          <w:szCs w:val="24"/>
        </w:rPr>
        <w:t>Steubing</w:t>
      </w:r>
      <w:proofErr w:type="spellEnd"/>
      <w:r>
        <w:rPr>
          <w:sz w:val="24"/>
          <w:szCs w:val="24"/>
        </w:rPr>
        <w:t xml:space="preserve">, 1995, s. 232-233].  </w:t>
      </w:r>
      <w:r>
        <w:rPr>
          <w:color w:val="000000"/>
          <w:sz w:val="24"/>
          <w:szCs w:val="24"/>
        </w:rPr>
        <w:t xml:space="preserve">V této souvislosti hraje důležitou roli městská zeleň (parky, stromořadí, zahrady atd.) která snižuje prašnost z dopravy, zvyšuje vlhkost vzduchu, v horkých obdobích ochlazuje vzduch a plní i rekreační funkci. Zeleni ve městě je nutno věnovat vyšší odbornou péči, neboť městská půda vykazuje určitá specifika, např. vyšší hodnoty pH, zasolení půdy, výskyt těžkých kovů, zhutnění půdy vlivem dopravy, tj. menší schopnost pojmout vláhu </w:t>
      </w:r>
      <w:r>
        <w:rPr>
          <w:sz w:val="24"/>
          <w:szCs w:val="24"/>
        </w:rPr>
        <w:t>[tamtéž].</w:t>
      </w:r>
    </w:p>
    <w:p w:rsidR="00E006AD" w:rsidRDefault="00E006AD" w:rsidP="00E006AD">
      <w:pPr>
        <w:spacing w:after="240"/>
      </w:pPr>
      <w:r>
        <w:rPr>
          <w:sz w:val="28"/>
          <w:szCs w:val="28"/>
        </w:rPr>
        <w:t>POUŽITÁ LITERATURA – viz KGS_PFIR_06B</w:t>
      </w:r>
      <w:bookmarkStart w:id="0" w:name="_GoBack"/>
      <w:bookmarkEnd w:id="0"/>
    </w:p>
    <w:sectPr w:rsidR="00E006AD" w:rsidSect="00E006AD">
      <w:pgSz w:w="11906" w:h="16838"/>
      <w:pgMar w:top="1418" w:right="1418" w:bottom="1134"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61745" w:rsidRDefault="00461745" w:rsidP="00992FEF">
      <w:r>
        <w:separator/>
      </w:r>
    </w:p>
  </w:endnote>
  <w:endnote w:type="continuationSeparator" w:id="0">
    <w:p w:rsidR="00461745" w:rsidRDefault="00461745" w:rsidP="00992FE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AFF" w:usb1="C0007841" w:usb2="00000009" w:usb3="00000000" w:csb0="000001FF" w:csb1="00000000"/>
  </w:font>
  <w:font w:name="Calibri Light">
    <w:panose1 w:val="020F0302020204030204"/>
    <w:charset w:val="EE"/>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61745" w:rsidRDefault="00461745" w:rsidP="00992FEF">
      <w:r>
        <w:separator/>
      </w:r>
    </w:p>
  </w:footnote>
  <w:footnote w:type="continuationSeparator" w:id="0">
    <w:p w:rsidR="00461745" w:rsidRDefault="00461745" w:rsidP="00992FEF">
      <w:r>
        <w:continuationSeparator/>
      </w:r>
    </w:p>
  </w:footnote>
  <w:footnote w:id="1">
    <w:p w:rsidR="009B3FE3" w:rsidRDefault="009B3FE3" w:rsidP="009B3FE3">
      <w:pPr>
        <w:pStyle w:val="Textpoznpodarou"/>
        <w:rPr>
          <w:sz w:val="18"/>
          <w:szCs w:val="18"/>
        </w:rPr>
      </w:pPr>
      <w:r>
        <w:rPr>
          <w:rStyle w:val="Znakapoznpodarou"/>
        </w:rPr>
        <w:footnoteRef/>
      </w:r>
      <w:r>
        <w:t xml:space="preserve"> </w:t>
      </w:r>
      <w:r>
        <w:rPr>
          <w:sz w:val="18"/>
          <w:szCs w:val="18"/>
        </w:rPr>
        <w:t>„Nohu z plynu!“ (překlad: autor příspěvku)</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92FEF"/>
    <w:rsid w:val="00047DCB"/>
    <w:rsid w:val="001612E3"/>
    <w:rsid w:val="002D0F56"/>
    <w:rsid w:val="002D51CD"/>
    <w:rsid w:val="0030162A"/>
    <w:rsid w:val="00332BE6"/>
    <w:rsid w:val="004545DE"/>
    <w:rsid w:val="00461745"/>
    <w:rsid w:val="0046386A"/>
    <w:rsid w:val="006010D8"/>
    <w:rsid w:val="00605D17"/>
    <w:rsid w:val="00694AEB"/>
    <w:rsid w:val="00992FEF"/>
    <w:rsid w:val="009B3FE3"/>
    <w:rsid w:val="00AD3581"/>
    <w:rsid w:val="00AE534E"/>
    <w:rsid w:val="00C30220"/>
    <w:rsid w:val="00D21C2C"/>
    <w:rsid w:val="00E006AD"/>
    <w:rsid w:val="00E873B7"/>
    <w:rsid w:val="00F77710"/>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B4DF81C-604D-48B3-B80C-0577B56EE8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992FEF"/>
    <w:pPr>
      <w:autoSpaceDE w:val="0"/>
      <w:autoSpaceDN w:val="0"/>
      <w:spacing w:after="0" w:line="240" w:lineRule="auto"/>
    </w:pPr>
    <w:rPr>
      <w:rFonts w:ascii="Times New Roman" w:eastAsia="Times New Roman" w:hAnsi="Times New Roman" w:cs="Times New Roman"/>
      <w:sz w:val="20"/>
      <w:szCs w:val="20"/>
      <w:lang w:eastAsia="cs-CZ"/>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Textpoznpodarou">
    <w:name w:val="footnote text"/>
    <w:basedOn w:val="Normln"/>
    <w:link w:val="TextpoznpodarouChar"/>
    <w:uiPriority w:val="99"/>
    <w:semiHidden/>
    <w:unhideWhenUsed/>
    <w:rsid w:val="00992FEF"/>
  </w:style>
  <w:style w:type="character" w:customStyle="1" w:styleId="TextpoznpodarouChar">
    <w:name w:val="Text pozn. pod čarou Char"/>
    <w:basedOn w:val="Standardnpsmoodstavce"/>
    <w:link w:val="Textpoznpodarou"/>
    <w:uiPriority w:val="99"/>
    <w:semiHidden/>
    <w:rsid w:val="00992FEF"/>
    <w:rPr>
      <w:rFonts w:ascii="Times New Roman" w:eastAsia="Times New Roman" w:hAnsi="Times New Roman" w:cs="Times New Roman"/>
      <w:sz w:val="20"/>
      <w:szCs w:val="20"/>
      <w:lang w:eastAsia="cs-CZ"/>
    </w:rPr>
  </w:style>
  <w:style w:type="character" w:styleId="Znakapoznpodarou">
    <w:name w:val="footnote reference"/>
    <w:uiPriority w:val="99"/>
    <w:semiHidden/>
    <w:unhideWhenUsed/>
    <w:rsid w:val="00992FEF"/>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6652955">
      <w:bodyDiv w:val="1"/>
      <w:marLeft w:val="0"/>
      <w:marRight w:val="0"/>
      <w:marTop w:val="0"/>
      <w:marBottom w:val="0"/>
      <w:divBdr>
        <w:top w:val="none" w:sz="0" w:space="0" w:color="auto"/>
        <w:left w:val="none" w:sz="0" w:space="0" w:color="auto"/>
        <w:bottom w:val="none" w:sz="0" w:space="0" w:color="auto"/>
        <w:right w:val="none" w:sz="0" w:space="0" w:color="auto"/>
      </w:divBdr>
    </w:div>
    <w:div w:id="695156886">
      <w:bodyDiv w:val="1"/>
      <w:marLeft w:val="0"/>
      <w:marRight w:val="0"/>
      <w:marTop w:val="0"/>
      <w:marBottom w:val="0"/>
      <w:divBdr>
        <w:top w:val="none" w:sz="0" w:space="0" w:color="auto"/>
        <w:left w:val="none" w:sz="0" w:space="0" w:color="auto"/>
        <w:bottom w:val="none" w:sz="0" w:space="0" w:color="auto"/>
        <w:right w:val="none" w:sz="0" w:space="0" w:color="auto"/>
      </w:divBdr>
    </w:div>
    <w:div w:id="734862660">
      <w:bodyDiv w:val="1"/>
      <w:marLeft w:val="0"/>
      <w:marRight w:val="0"/>
      <w:marTop w:val="0"/>
      <w:marBottom w:val="0"/>
      <w:divBdr>
        <w:top w:val="none" w:sz="0" w:space="0" w:color="auto"/>
        <w:left w:val="none" w:sz="0" w:space="0" w:color="auto"/>
        <w:bottom w:val="none" w:sz="0" w:space="0" w:color="auto"/>
        <w:right w:val="none" w:sz="0" w:space="0" w:color="auto"/>
      </w:divBdr>
    </w:div>
    <w:div w:id="931426603">
      <w:bodyDiv w:val="1"/>
      <w:marLeft w:val="0"/>
      <w:marRight w:val="0"/>
      <w:marTop w:val="0"/>
      <w:marBottom w:val="0"/>
      <w:divBdr>
        <w:top w:val="none" w:sz="0" w:space="0" w:color="auto"/>
        <w:left w:val="none" w:sz="0" w:space="0" w:color="auto"/>
        <w:bottom w:val="none" w:sz="0" w:space="0" w:color="auto"/>
        <w:right w:val="none" w:sz="0" w:space="0" w:color="auto"/>
      </w:divBdr>
    </w:div>
    <w:div w:id="973485774">
      <w:bodyDiv w:val="1"/>
      <w:marLeft w:val="0"/>
      <w:marRight w:val="0"/>
      <w:marTop w:val="0"/>
      <w:marBottom w:val="0"/>
      <w:divBdr>
        <w:top w:val="none" w:sz="0" w:space="0" w:color="auto"/>
        <w:left w:val="none" w:sz="0" w:space="0" w:color="auto"/>
        <w:bottom w:val="none" w:sz="0" w:space="0" w:color="auto"/>
        <w:right w:val="none" w:sz="0" w:space="0" w:color="auto"/>
      </w:divBdr>
    </w:div>
    <w:div w:id="16205271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823</Words>
  <Characters>4861</Characters>
  <Application>Microsoft Office Word</Application>
  <DocSecurity>0</DocSecurity>
  <Lines>40</Lines>
  <Paragraphs>11</Paragraphs>
  <ScaleCrop>false</ScaleCrop>
  <HeadingPairs>
    <vt:vector size="2" baseType="variant">
      <vt:variant>
        <vt:lpstr>Název</vt:lpstr>
      </vt:variant>
      <vt:variant>
        <vt:i4>1</vt:i4>
      </vt:variant>
    </vt:vector>
  </HeadingPairs>
  <TitlesOfParts>
    <vt:vector size="1" baseType="lpstr">
      <vt:lpstr/>
    </vt:vector>
  </TitlesOfParts>
  <Company>Městská část Praha 10</Company>
  <LinksUpToDate>false</LinksUpToDate>
  <CharactersWithSpaces>5673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ZMČ Vávra Zdeněk, Ing. (ÚMČ Praha 10)</dc:creator>
  <cp:keywords/>
  <dc:description/>
  <cp:lastModifiedBy>ZMČ Vávra Zdeněk, Ing. (ÚMČ Praha 10)</cp:lastModifiedBy>
  <cp:revision>4</cp:revision>
  <dcterms:created xsi:type="dcterms:W3CDTF">2017-01-11T14:39:00Z</dcterms:created>
  <dcterms:modified xsi:type="dcterms:W3CDTF">2017-01-11T14:46:00Z</dcterms:modified>
</cp:coreProperties>
</file>