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DC0" w:rsidRDefault="00307B8E">
      <w:pPr>
        <w:rPr>
          <w:b/>
          <w:sz w:val="36"/>
          <w:szCs w:val="36"/>
        </w:rPr>
      </w:pPr>
      <w:r w:rsidRPr="00307B8E">
        <w:rPr>
          <w:b/>
          <w:sz w:val="36"/>
          <w:szCs w:val="36"/>
        </w:rPr>
        <w:t>ÜBERSETZER IN DER INTERREGIONALEN ZUSAMMENARBEIT</w:t>
      </w:r>
    </w:p>
    <w:p w:rsidR="00FA7438" w:rsidRPr="00FA7438" w:rsidRDefault="00FA7438">
      <w:pPr>
        <w:rPr>
          <w:b/>
          <w:sz w:val="26"/>
          <w:szCs w:val="26"/>
          <w:lang w:val="de-DE"/>
        </w:rPr>
      </w:pPr>
      <w:r w:rsidRPr="00FA7438">
        <w:rPr>
          <w:b/>
          <w:sz w:val="26"/>
          <w:szCs w:val="26"/>
          <w:lang w:val="de-DE"/>
        </w:rPr>
        <w:t xml:space="preserve">Aufgabe: </w:t>
      </w:r>
      <w:r>
        <w:rPr>
          <w:b/>
          <w:sz w:val="26"/>
          <w:szCs w:val="26"/>
          <w:lang w:val="de-DE"/>
        </w:rPr>
        <w:t xml:space="preserve">Schreiben </w:t>
      </w:r>
      <w:r w:rsidRPr="00FA7438">
        <w:rPr>
          <w:b/>
          <w:sz w:val="26"/>
          <w:szCs w:val="26"/>
          <w:lang w:val="de-DE"/>
        </w:rPr>
        <w:t>Sie die</w:t>
      </w:r>
      <w:r>
        <w:rPr>
          <w:b/>
          <w:sz w:val="26"/>
          <w:szCs w:val="26"/>
          <w:lang w:val="de-DE"/>
        </w:rPr>
        <w:t xml:space="preserve"> Überschriften zu den</w:t>
      </w:r>
      <w:r w:rsidRPr="00FA7438">
        <w:rPr>
          <w:b/>
          <w:sz w:val="26"/>
          <w:szCs w:val="26"/>
          <w:lang w:val="de-DE"/>
        </w:rPr>
        <w:t xml:space="preserve"> Absätze</w:t>
      </w:r>
      <w:r>
        <w:rPr>
          <w:b/>
          <w:sz w:val="26"/>
          <w:szCs w:val="26"/>
          <w:lang w:val="de-DE"/>
        </w:rPr>
        <w:t>n</w:t>
      </w:r>
      <w:bookmarkStart w:id="0" w:name="_GoBack"/>
      <w:bookmarkEnd w:id="0"/>
      <w:r w:rsidRPr="00FA7438">
        <w:rPr>
          <w:b/>
          <w:sz w:val="26"/>
          <w:szCs w:val="26"/>
          <w:lang w:val="de-DE"/>
        </w:rPr>
        <w:t xml:space="preserve"> A-G</w:t>
      </w:r>
    </w:p>
    <w:p w:rsidR="00307B8E" w:rsidRDefault="007A52E5">
      <w:pPr>
        <w:rPr>
          <w:sz w:val="26"/>
          <w:szCs w:val="26"/>
          <w:lang w:val="de-DE"/>
        </w:rPr>
      </w:pPr>
      <w:r>
        <w:rPr>
          <w:sz w:val="26"/>
          <w:szCs w:val="26"/>
          <w:lang w:val="de-DE"/>
        </w:rPr>
        <w:t>A.</w:t>
      </w:r>
    </w:p>
    <w:p w:rsidR="00307B8E" w:rsidRDefault="00307B8E" w:rsidP="007A52E5">
      <w:pPr>
        <w:spacing w:line="360" w:lineRule="auto"/>
        <w:jc w:val="both"/>
        <w:rPr>
          <w:sz w:val="26"/>
          <w:szCs w:val="26"/>
          <w:lang w:val="de-DE"/>
        </w:rPr>
      </w:pPr>
      <w:r w:rsidRPr="00307B8E">
        <w:rPr>
          <w:sz w:val="26"/>
          <w:szCs w:val="26"/>
          <w:lang w:val="de-DE"/>
        </w:rPr>
        <w:t>Im §</w:t>
      </w:r>
      <w:r>
        <w:rPr>
          <w:sz w:val="26"/>
          <w:szCs w:val="26"/>
          <w:lang w:val="de-DE"/>
        </w:rPr>
        <w:t xml:space="preserve"> 18 des Einkommensteuergesetzes (EStG) steht, welche Berufe als „Freie Berufe“ anerkannt sind. Es sind Heilberufe (Ärzte, Heilpraktiker</w:t>
      </w:r>
      <w:r w:rsidR="007A52E5">
        <w:rPr>
          <w:sz w:val="26"/>
          <w:szCs w:val="26"/>
          <w:lang w:val="de-DE"/>
        </w:rPr>
        <w:t>, Tierärzte</w:t>
      </w:r>
      <w:r>
        <w:rPr>
          <w:sz w:val="26"/>
          <w:szCs w:val="26"/>
          <w:lang w:val="de-DE"/>
        </w:rPr>
        <w:t xml:space="preserve"> usw.), Rechts-, steuer- und wirtschaftsberatende Berufe (Notare, Steuerberater, Wirtschaftsprüfer usw.), naturwissenschaftliche/technische Berufe (Vermessung</w:t>
      </w:r>
      <w:r w:rsidR="007A52E5">
        <w:rPr>
          <w:sz w:val="26"/>
          <w:szCs w:val="26"/>
          <w:lang w:val="de-DE"/>
        </w:rPr>
        <w:t>si</w:t>
      </w:r>
      <w:r>
        <w:rPr>
          <w:sz w:val="26"/>
          <w:szCs w:val="26"/>
          <w:lang w:val="de-DE"/>
        </w:rPr>
        <w:t>ngeni</w:t>
      </w:r>
      <w:r w:rsidR="007A52E5">
        <w:rPr>
          <w:sz w:val="26"/>
          <w:szCs w:val="26"/>
          <w:lang w:val="de-DE"/>
        </w:rPr>
        <w:t>eu</w:t>
      </w:r>
      <w:r>
        <w:rPr>
          <w:sz w:val="26"/>
          <w:szCs w:val="26"/>
          <w:lang w:val="de-DE"/>
        </w:rPr>
        <w:t>re, Lotsen, Architekten usw.)</w:t>
      </w:r>
      <w:r w:rsidR="007A52E5">
        <w:rPr>
          <w:sz w:val="26"/>
          <w:szCs w:val="26"/>
          <w:lang w:val="de-DE"/>
        </w:rPr>
        <w:t xml:space="preserve"> sowie Künstler, Schriftsteller, Lehrer und Erzieher. Zu dieser Gruppe gehören auch informationsvermittelnde Berufe wie Wissenschaftler, Journalisten, Dolmetscher und Übersetzer.</w:t>
      </w:r>
    </w:p>
    <w:p w:rsidR="007A52E5" w:rsidRDefault="007A52E5" w:rsidP="007A52E5">
      <w:pPr>
        <w:spacing w:line="360" w:lineRule="auto"/>
        <w:jc w:val="both"/>
        <w:rPr>
          <w:sz w:val="26"/>
          <w:szCs w:val="26"/>
          <w:lang w:val="de-DE"/>
        </w:rPr>
      </w:pPr>
      <w:r>
        <w:rPr>
          <w:sz w:val="26"/>
          <w:szCs w:val="26"/>
          <w:lang w:val="de-DE"/>
        </w:rPr>
        <w:t>B.</w:t>
      </w:r>
    </w:p>
    <w:p w:rsidR="00F9668C" w:rsidRDefault="00F9668C" w:rsidP="007A52E5">
      <w:pPr>
        <w:spacing w:line="360" w:lineRule="auto"/>
        <w:jc w:val="both"/>
        <w:rPr>
          <w:sz w:val="26"/>
          <w:szCs w:val="26"/>
          <w:lang w:val="de-DE"/>
        </w:rPr>
      </w:pPr>
      <w:r>
        <w:rPr>
          <w:sz w:val="26"/>
          <w:szCs w:val="26"/>
          <w:lang w:val="de-DE"/>
        </w:rPr>
        <w:t xml:space="preserve">Das Partnerschaftsgesellschaftsgesetz (PartGG) liefert einige brauchbare Anhaltspunkte für die Definition des </w:t>
      </w:r>
      <w:proofErr w:type="spellStart"/>
      <w:r>
        <w:rPr>
          <w:sz w:val="26"/>
          <w:szCs w:val="26"/>
          <w:lang w:val="de-DE"/>
        </w:rPr>
        <w:t>Freien</w:t>
      </w:r>
      <w:proofErr w:type="spellEnd"/>
      <w:r>
        <w:rPr>
          <w:sz w:val="26"/>
          <w:szCs w:val="26"/>
          <w:lang w:val="de-DE"/>
        </w:rPr>
        <w:t xml:space="preserve"> Berufs:  „Die Freien Berufe haben im allgemeinen auf der Grundlage besonderer beruflicher Qualifikation oder schöpferischer Begabung die persönliche, eigenverantwortliche und fachlich unabhängige Erbringung von Dienstleistungen höherer Art im Interesse der Auftraggeber und der Allgemeinheit zum Inhalt“.</w:t>
      </w:r>
    </w:p>
    <w:p w:rsidR="00F9668C" w:rsidRDefault="00F9668C" w:rsidP="007A52E5">
      <w:pPr>
        <w:spacing w:line="360" w:lineRule="auto"/>
        <w:jc w:val="both"/>
        <w:rPr>
          <w:sz w:val="26"/>
          <w:szCs w:val="26"/>
          <w:lang w:val="de-DE"/>
        </w:rPr>
      </w:pPr>
      <w:r>
        <w:rPr>
          <w:sz w:val="26"/>
          <w:szCs w:val="26"/>
          <w:lang w:val="de-DE"/>
        </w:rPr>
        <w:t>C.</w:t>
      </w:r>
    </w:p>
    <w:p w:rsidR="007A52E5" w:rsidRDefault="007A52E5" w:rsidP="007A52E5">
      <w:pPr>
        <w:spacing w:line="360" w:lineRule="auto"/>
        <w:jc w:val="both"/>
        <w:rPr>
          <w:sz w:val="26"/>
          <w:szCs w:val="26"/>
          <w:lang w:val="de-DE"/>
        </w:rPr>
      </w:pPr>
      <w:r>
        <w:rPr>
          <w:sz w:val="26"/>
          <w:szCs w:val="26"/>
          <w:lang w:val="de-DE"/>
        </w:rPr>
        <w:t>Freiberufler haben gegenüber Gewerbetreibenden die folgenden Vorteile: 1. Sie müssen kein Gewerbe anmelden. 2. Sie bezahlen keine Gewerbesteuer. 3. Die Einnahmen-Überschuss-Rechnung als vereinfachte Form der Buchführung genügt. 4. Sie müssen nicht Mitglied bei der IHK werden</w:t>
      </w:r>
      <w:r w:rsidR="00F9668C">
        <w:rPr>
          <w:sz w:val="26"/>
          <w:szCs w:val="26"/>
          <w:lang w:val="de-DE"/>
        </w:rPr>
        <w:t xml:space="preserve"> und sparen sich sonst viel Bürokratie. </w:t>
      </w:r>
    </w:p>
    <w:p w:rsidR="00F9668C" w:rsidRDefault="00F9668C" w:rsidP="007A52E5">
      <w:pPr>
        <w:spacing w:line="360" w:lineRule="auto"/>
        <w:jc w:val="both"/>
        <w:rPr>
          <w:sz w:val="26"/>
          <w:szCs w:val="26"/>
          <w:lang w:val="de-DE"/>
        </w:rPr>
      </w:pPr>
      <w:r>
        <w:rPr>
          <w:sz w:val="26"/>
          <w:szCs w:val="26"/>
          <w:lang w:val="de-DE"/>
        </w:rPr>
        <w:t xml:space="preserve">D. </w:t>
      </w:r>
    </w:p>
    <w:p w:rsidR="00F9668C" w:rsidRDefault="00F9668C" w:rsidP="007A52E5">
      <w:pPr>
        <w:spacing w:line="360" w:lineRule="auto"/>
        <w:jc w:val="both"/>
        <w:rPr>
          <w:sz w:val="26"/>
          <w:szCs w:val="26"/>
          <w:lang w:val="de-DE"/>
        </w:rPr>
      </w:pPr>
      <w:r>
        <w:rPr>
          <w:sz w:val="26"/>
          <w:szCs w:val="26"/>
          <w:lang w:val="de-DE"/>
        </w:rPr>
        <w:t xml:space="preserve">Für die Aufnahme einer selbstständigen freiberuflichen Tätigkeit genügt eine formlose Mitteilung an das Finanzamt (spätestens innerhalb eines Monats). Sie erhalten dann den „Fragebogen zur steuerlichen Erfassung/Aufnahme einer gewerblichen, selbstständigen (freiberuflichen), land- oder forstwirtschaftlichen Tätigkeit“. Dieses </w:t>
      </w:r>
      <w:r>
        <w:rPr>
          <w:sz w:val="26"/>
          <w:szCs w:val="26"/>
          <w:lang w:val="de-DE"/>
        </w:rPr>
        <w:lastRenderedPageBreak/>
        <w:t>Formular können Sie auch aus dem Internet herunterladen. Sie finden es im Formular-Management-System (FMS) der Bundes</w:t>
      </w:r>
      <w:r w:rsidR="009E406E">
        <w:rPr>
          <w:sz w:val="26"/>
          <w:szCs w:val="26"/>
          <w:lang w:val="de-DE"/>
        </w:rPr>
        <w:t xml:space="preserve">finanzverwaltung unter </w:t>
      </w:r>
      <w:r w:rsidR="009E406E" w:rsidRPr="009E406E">
        <w:rPr>
          <w:sz w:val="26"/>
          <w:szCs w:val="26"/>
          <w:lang w:val="de-DE"/>
        </w:rPr>
        <w:t>www.formular-bfinv.de</w:t>
      </w:r>
      <w:r w:rsidR="009E406E">
        <w:rPr>
          <w:sz w:val="26"/>
          <w:szCs w:val="26"/>
          <w:lang w:val="de-DE"/>
        </w:rPr>
        <w:t>.</w:t>
      </w:r>
    </w:p>
    <w:p w:rsidR="009E406E" w:rsidRDefault="009E406E" w:rsidP="007A52E5">
      <w:pPr>
        <w:spacing w:line="360" w:lineRule="auto"/>
        <w:jc w:val="both"/>
        <w:rPr>
          <w:sz w:val="26"/>
          <w:szCs w:val="26"/>
          <w:lang w:val="de-DE"/>
        </w:rPr>
      </w:pPr>
      <w:r>
        <w:rPr>
          <w:sz w:val="26"/>
          <w:szCs w:val="26"/>
          <w:lang w:val="de-DE"/>
        </w:rPr>
        <w:t xml:space="preserve">E. </w:t>
      </w:r>
    </w:p>
    <w:p w:rsidR="007A52E5" w:rsidRDefault="009E406E" w:rsidP="007A52E5">
      <w:pPr>
        <w:spacing w:line="360" w:lineRule="auto"/>
        <w:jc w:val="both"/>
        <w:rPr>
          <w:sz w:val="26"/>
          <w:szCs w:val="26"/>
          <w:lang w:val="de-DE"/>
        </w:rPr>
      </w:pPr>
      <w:r>
        <w:rPr>
          <w:sz w:val="26"/>
          <w:szCs w:val="26"/>
          <w:lang w:val="de-DE"/>
        </w:rPr>
        <w:t xml:space="preserve">Der Übersetzer sollte von Anfang an vermeiden, dass die Papierstapel in seinem Büro von Woche zu Woche höher werden, indem er schon in der Gründungsphase alle Belege nach dem folgenden System abheftet. Warum? Weil er so den Überblick bewahrt und beispielsweise Belege, Korrespondenz und Verträge jederzeit leicht wiederfindet. </w:t>
      </w:r>
    </w:p>
    <w:p w:rsidR="009E406E" w:rsidRDefault="009E406E" w:rsidP="007A52E5">
      <w:pPr>
        <w:spacing w:line="360" w:lineRule="auto"/>
        <w:jc w:val="both"/>
        <w:rPr>
          <w:sz w:val="26"/>
          <w:szCs w:val="26"/>
          <w:lang w:val="de-DE"/>
        </w:rPr>
      </w:pPr>
      <w:r>
        <w:rPr>
          <w:sz w:val="26"/>
          <w:szCs w:val="26"/>
          <w:lang w:val="de-DE"/>
        </w:rPr>
        <w:t>F.</w:t>
      </w:r>
    </w:p>
    <w:p w:rsidR="009E406E" w:rsidRDefault="009E406E" w:rsidP="007A52E5">
      <w:pPr>
        <w:spacing w:line="360" w:lineRule="auto"/>
        <w:jc w:val="both"/>
        <w:rPr>
          <w:sz w:val="26"/>
          <w:szCs w:val="26"/>
          <w:lang w:val="de-DE"/>
        </w:rPr>
      </w:pPr>
      <w:r>
        <w:rPr>
          <w:sz w:val="26"/>
          <w:szCs w:val="26"/>
          <w:lang w:val="de-DE"/>
        </w:rPr>
        <w:t xml:space="preserve">Für eine systematische Ablage genügen anfangs vier Ordner, Trennstreifen, Heftstreifen und Monatsregister. Mithilfe der Trennstreifen und Register sortiert man die Papiere innerhalb eines Ordners. </w:t>
      </w:r>
      <w:r w:rsidR="006130D2">
        <w:rPr>
          <w:sz w:val="26"/>
          <w:szCs w:val="26"/>
          <w:lang w:val="de-DE"/>
        </w:rPr>
        <w:t>Der erste Ordner heißt „Belege“ und enthält die folgenden Trennstreifen: 1. Offene Eingangsrechnungen; 2. Offene Ausgangsrechnungen; 3. Monatsregister („bezahlt am …“); 4. Kasse (Barzahlungsbelege, Bewirtungsbelege, Geschenke usw.).</w:t>
      </w:r>
    </w:p>
    <w:p w:rsidR="006130D2" w:rsidRDefault="006130D2" w:rsidP="007A52E5">
      <w:pPr>
        <w:spacing w:line="360" w:lineRule="auto"/>
        <w:jc w:val="both"/>
        <w:rPr>
          <w:sz w:val="26"/>
          <w:szCs w:val="26"/>
          <w:lang w:val="de-DE"/>
        </w:rPr>
      </w:pPr>
      <w:r>
        <w:rPr>
          <w:sz w:val="26"/>
          <w:szCs w:val="26"/>
          <w:lang w:val="de-DE"/>
        </w:rPr>
        <w:t xml:space="preserve">G. </w:t>
      </w:r>
    </w:p>
    <w:p w:rsidR="006130D2" w:rsidRDefault="006130D2" w:rsidP="007A52E5">
      <w:pPr>
        <w:spacing w:line="360" w:lineRule="auto"/>
        <w:jc w:val="both"/>
        <w:rPr>
          <w:sz w:val="26"/>
          <w:szCs w:val="26"/>
          <w:lang w:val="de-DE"/>
        </w:rPr>
      </w:pPr>
      <w:r>
        <w:rPr>
          <w:sz w:val="26"/>
          <w:szCs w:val="26"/>
          <w:lang w:val="de-DE"/>
        </w:rPr>
        <w:t xml:space="preserve">Der zweite Ordner heißt „Verträge“ und enthält alle Unterlagen, zum Beispiel zu Bankkonten, Abos, Büromiete, Handy, Versicherungen und freien Mitarbeitern. Im dritten Ordner gibt es „Kunden/Korrespondenz“ und im vierten „Finanzamt/Steuerberater“. Laut Gesetz muss man alle wichtigen Unterlagen für eine bestimmte Zeit aufbewahren. Für Belege und Jahresabschlüsse ist eine Aufbewahrungspflicht von zehn Jahren festgeschrieben. </w:t>
      </w:r>
      <w:r w:rsidR="004754B2">
        <w:rPr>
          <w:sz w:val="26"/>
          <w:szCs w:val="26"/>
          <w:lang w:val="de-DE"/>
        </w:rPr>
        <w:t>Sechs Jahre müssen empfangene und gesendete Geschäftsbriefe aufbewahrt werden. Dazu zählen Aufträge, Lieferscheine, Lohnunterlagen sowie E-Mails.</w:t>
      </w:r>
    </w:p>
    <w:p w:rsidR="00FA7438" w:rsidRPr="00307B8E" w:rsidRDefault="00FA7438" w:rsidP="007A52E5">
      <w:pPr>
        <w:spacing w:line="360" w:lineRule="auto"/>
        <w:jc w:val="both"/>
        <w:rPr>
          <w:sz w:val="26"/>
          <w:szCs w:val="26"/>
          <w:lang w:val="de-DE"/>
        </w:rPr>
      </w:pPr>
      <w:r>
        <w:rPr>
          <w:sz w:val="26"/>
          <w:szCs w:val="26"/>
          <w:lang w:val="de-DE"/>
        </w:rPr>
        <w:t xml:space="preserve">(Das Material erstellte </w:t>
      </w:r>
      <w:proofErr w:type="spellStart"/>
      <w:r>
        <w:rPr>
          <w:sz w:val="26"/>
          <w:szCs w:val="26"/>
          <w:lang w:val="de-DE"/>
        </w:rPr>
        <w:t>dr.</w:t>
      </w:r>
      <w:proofErr w:type="spellEnd"/>
      <w:r>
        <w:rPr>
          <w:sz w:val="26"/>
          <w:szCs w:val="26"/>
          <w:lang w:val="de-DE"/>
        </w:rPr>
        <w:t xml:space="preserve"> Zdeněk Vávra; Nach: Lutz, Andreas; Schuch, Monika: Existenzgründung. Wien : Linde, 2016.)</w:t>
      </w:r>
    </w:p>
    <w:sectPr w:rsidR="00FA7438" w:rsidRPr="00307B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B8E"/>
    <w:rsid w:val="00307B8E"/>
    <w:rsid w:val="004754B2"/>
    <w:rsid w:val="006130D2"/>
    <w:rsid w:val="007A52E5"/>
    <w:rsid w:val="009E406E"/>
    <w:rsid w:val="00F9668C"/>
    <w:rsid w:val="00FA7438"/>
    <w:rsid w:val="00FB1D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982964-DA27-430D-89A3-0383C2119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9E40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483</Words>
  <Characters>2853</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Městská část Praha 10</Company>
  <LinksUpToDate>false</LinksUpToDate>
  <CharactersWithSpaces>3330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ZMČ Vávra Zdeněk, Ing. (ÚMČ Praha 10)</dc:creator>
  <cp:keywords/>
  <dc:description/>
  <cp:lastModifiedBy>ZMČ Vávra Zdeněk, Ing. (ÚMČ Praha 10)</cp:lastModifiedBy>
  <cp:revision>2</cp:revision>
  <dcterms:created xsi:type="dcterms:W3CDTF">2017-01-11T15:06:00Z</dcterms:created>
  <dcterms:modified xsi:type="dcterms:W3CDTF">2017-01-11T15:39:00Z</dcterms:modified>
</cp:coreProperties>
</file>