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1370" w:rsidRDefault="002C1370" w:rsidP="002C1370">
      <w:pPr>
        <w:spacing w:after="0" w:line="480" w:lineRule="auto"/>
        <w:outlineLvl w:val="1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2C1370">
        <w:rPr>
          <w:rFonts w:ascii="Times New Roman" w:hAnsi="Times New Roman"/>
          <w:b/>
          <w:bCs/>
          <w:sz w:val="24"/>
          <w:szCs w:val="24"/>
          <w:lang w:eastAsia="cs-CZ"/>
        </w:rPr>
        <w:t>VZTYČENÉ KAMENY V CESTOVNÍM RUCHU</w:t>
      </w:r>
      <w:r w:rsidR="00A27F24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(</w:t>
      </w:r>
      <w:proofErr w:type="spellStart"/>
      <w:r w:rsidR="00A27F24">
        <w:rPr>
          <w:rFonts w:ascii="Times New Roman" w:hAnsi="Times New Roman"/>
          <w:b/>
          <w:bCs/>
          <w:sz w:val="24"/>
          <w:szCs w:val="24"/>
          <w:lang w:eastAsia="cs-CZ"/>
        </w:rPr>
        <w:t>Schritt</w:t>
      </w:r>
      <w:proofErr w:type="spellEnd"/>
      <w:r w:rsidR="00A27F24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1)</w:t>
      </w:r>
      <w:bookmarkStart w:id="0" w:name="_GoBack"/>
      <w:bookmarkEnd w:id="0"/>
    </w:p>
    <w:p w:rsidR="002C1370" w:rsidRPr="002C1370" w:rsidRDefault="002C1370" w:rsidP="002C1370">
      <w:pPr>
        <w:spacing w:after="0" w:line="480" w:lineRule="auto"/>
        <w:outlineLvl w:val="1"/>
        <w:rPr>
          <w:rFonts w:ascii="Times New Roman" w:hAnsi="Times New Roman"/>
          <w:bCs/>
          <w:i/>
          <w:sz w:val="24"/>
          <w:szCs w:val="24"/>
          <w:lang w:eastAsia="cs-CZ"/>
        </w:rPr>
      </w:pPr>
      <w:r>
        <w:rPr>
          <w:rFonts w:ascii="Times New Roman" w:hAnsi="Times New Roman"/>
          <w:bCs/>
          <w:i/>
          <w:sz w:val="24"/>
          <w:szCs w:val="24"/>
          <w:lang w:eastAsia="cs-CZ"/>
        </w:rPr>
        <w:t>Zdeněk Vávra</w:t>
      </w:r>
    </w:p>
    <w:p w:rsidR="002C1370" w:rsidRDefault="002C1370" w:rsidP="002C1370">
      <w:pPr>
        <w:spacing w:after="0" w:line="480" w:lineRule="auto"/>
        <w:outlineLvl w:val="1"/>
        <w:rPr>
          <w:rFonts w:ascii="Times New Roman" w:hAnsi="Times New Roman"/>
          <w:bCs/>
          <w:sz w:val="24"/>
          <w:szCs w:val="24"/>
          <w:lang w:eastAsia="cs-CZ"/>
        </w:rPr>
      </w:pPr>
    </w:p>
    <w:p w:rsidR="002C1370" w:rsidRDefault="002C1370" w:rsidP="002C1370">
      <w:pPr>
        <w:spacing w:after="0" w:line="480" w:lineRule="auto"/>
        <w:outlineLvl w:val="1"/>
        <w:rPr>
          <w:rFonts w:ascii="Times New Roman" w:hAnsi="Times New Roman"/>
          <w:bCs/>
          <w:sz w:val="24"/>
          <w:szCs w:val="24"/>
          <w:lang w:eastAsia="cs-CZ"/>
        </w:rPr>
      </w:pPr>
      <w:r>
        <w:rPr>
          <w:rFonts w:ascii="Times New Roman" w:hAnsi="Times New Roman"/>
          <w:bCs/>
          <w:sz w:val="24"/>
          <w:szCs w:val="24"/>
          <w:lang w:eastAsia="cs-CZ"/>
        </w:rPr>
        <w:t>A.</w:t>
      </w:r>
    </w:p>
    <w:p w:rsidR="002C1370" w:rsidRDefault="002C1370" w:rsidP="002C1370">
      <w:pPr>
        <w:spacing w:after="0" w:line="480" w:lineRule="auto"/>
        <w:outlineLvl w:val="1"/>
        <w:rPr>
          <w:rFonts w:ascii="Times New Roman" w:hAnsi="Times New Roman"/>
          <w:bCs/>
          <w:sz w:val="24"/>
          <w:szCs w:val="24"/>
          <w:lang w:eastAsia="cs-CZ"/>
        </w:rPr>
      </w:pPr>
      <w:r>
        <w:rPr>
          <w:rFonts w:ascii="Times New Roman" w:hAnsi="Times New Roman"/>
          <w:bCs/>
          <w:sz w:val="24"/>
          <w:szCs w:val="24"/>
          <w:lang w:eastAsia="cs-CZ"/>
        </w:rPr>
        <w:t xml:space="preserve">Nejprve posoudíme, jaké místo památné kameny zaujímají mezi různými typy vztyčených kamenů. Vztyčené kameny lze z hlediska vědeckého poznání rozdělit na kameny nejasného účelu a na kameny s jednoznačně identifikovatelným určením. Do první skupiny náleží menhiry, kamenné řady a kamenná uskupení. Jejich společným charakteristickým rysem jsou nejasnosti ohledně stáří, původu a účelu. </w:t>
      </w:r>
    </w:p>
    <w:p w:rsidR="002C1370" w:rsidRDefault="002C1370" w:rsidP="002C1370">
      <w:pPr>
        <w:spacing w:after="0" w:line="480" w:lineRule="auto"/>
        <w:outlineLvl w:val="1"/>
        <w:rPr>
          <w:rFonts w:ascii="Times New Roman" w:hAnsi="Times New Roman"/>
          <w:bCs/>
          <w:sz w:val="24"/>
          <w:szCs w:val="24"/>
          <w:lang w:eastAsia="cs-CZ"/>
        </w:rPr>
      </w:pPr>
      <w:r>
        <w:rPr>
          <w:rFonts w:ascii="Times New Roman" w:hAnsi="Times New Roman"/>
          <w:bCs/>
          <w:sz w:val="24"/>
          <w:szCs w:val="24"/>
          <w:lang w:eastAsia="cs-CZ"/>
        </w:rPr>
        <w:t>B.</w:t>
      </w:r>
    </w:p>
    <w:p w:rsidR="002C1370" w:rsidRDefault="002C1370" w:rsidP="002C1370">
      <w:pPr>
        <w:spacing w:after="0" w:line="480" w:lineRule="auto"/>
        <w:outlineLvl w:val="1"/>
        <w:rPr>
          <w:rFonts w:ascii="Times New Roman" w:hAnsi="Times New Roman"/>
          <w:bCs/>
          <w:sz w:val="24"/>
          <w:szCs w:val="24"/>
          <w:lang w:eastAsia="cs-CZ"/>
        </w:rPr>
      </w:pPr>
      <w:r>
        <w:rPr>
          <w:rFonts w:ascii="Times New Roman" w:hAnsi="Times New Roman"/>
          <w:bCs/>
          <w:sz w:val="24"/>
          <w:szCs w:val="24"/>
          <w:lang w:eastAsia="cs-CZ"/>
        </w:rPr>
        <w:t>Menhiry jsou dlouhé kameny, které byly vztyčeny lidskou rukou. Nejstarší menhiry v severní Evropě se datují 4500 let př. n. l. (</w:t>
      </w:r>
      <w:proofErr w:type="spellStart"/>
      <w:r>
        <w:rPr>
          <w:rFonts w:ascii="Times New Roman" w:hAnsi="Times New Roman"/>
          <w:bCs/>
          <w:sz w:val="24"/>
          <w:szCs w:val="24"/>
          <w:lang w:eastAsia="cs-CZ"/>
        </w:rPr>
        <w:t>Cílek</w:t>
      </w:r>
      <w:proofErr w:type="spellEnd"/>
      <w:r>
        <w:rPr>
          <w:rFonts w:ascii="Times New Roman" w:hAnsi="Times New Roman"/>
          <w:bCs/>
          <w:sz w:val="24"/>
          <w:szCs w:val="24"/>
          <w:lang w:eastAsia="cs-CZ"/>
        </w:rPr>
        <w:t xml:space="preserve"> 2014: 25). Množství megalitických památek se nachází zejména v Irsku, Anglii, Bretani a na Maltě. U některých menhirů lze vysledovat promyšlenou orientaci, jindy se zdají být umístěny chaoticky. </w:t>
      </w:r>
      <w:proofErr w:type="spellStart"/>
      <w:r>
        <w:rPr>
          <w:rFonts w:ascii="Times New Roman" w:hAnsi="Times New Roman"/>
          <w:bCs/>
          <w:sz w:val="24"/>
          <w:szCs w:val="24"/>
          <w:lang w:eastAsia="cs-CZ"/>
        </w:rPr>
        <w:t>Cílek</w:t>
      </w:r>
      <w:proofErr w:type="spellEnd"/>
      <w:r>
        <w:rPr>
          <w:rFonts w:ascii="Times New Roman" w:hAnsi="Times New Roman"/>
          <w:bCs/>
          <w:sz w:val="24"/>
          <w:szCs w:val="24"/>
          <w:lang w:eastAsia="cs-CZ"/>
        </w:rPr>
        <w:t xml:space="preserve"> uvádí, že „typické umístění megalitické památky severní Evropy je takové, aby měla výhled do krajiny a byla orientovaná k vodním plochám a zdrojům (</w:t>
      </w:r>
      <w:proofErr w:type="spellStart"/>
      <w:r>
        <w:rPr>
          <w:rFonts w:ascii="Times New Roman" w:hAnsi="Times New Roman"/>
          <w:bCs/>
          <w:sz w:val="24"/>
          <w:szCs w:val="24"/>
          <w:lang w:eastAsia="cs-CZ"/>
        </w:rPr>
        <w:t>Cílek</w:t>
      </w:r>
      <w:proofErr w:type="spellEnd"/>
      <w:r>
        <w:rPr>
          <w:rFonts w:ascii="Times New Roman" w:hAnsi="Times New Roman"/>
          <w:bCs/>
          <w:sz w:val="24"/>
          <w:szCs w:val="24"/>
          <w:lang w:eastAsia="cs-CZ"/>
        </w:rPr>
        <w:t xml:space="preserve">, 2014: 23). V českých podmínkách se jedná spíše o vazbu na půdu a na kopce na obzoru. V České republice je podle publikace </w:t>
      </w:r>
      <w:r>
        <w:rPr>
          <w:rFonts w:ascii="Times New Roman" w:hAnsi="Times New Roman"/>
          <w:bCs/>
          <w:i/>
          <w:sz w:val="24"/>
          <w:szCs w:val="24"/>
          <w:lang w:eastAsia="cs-CZ"/>
        </w:rPr>
        <w:t>České megality</w:t>
      </w:r>
      <w:r>
        <w:rPr>
          <w:rFonts w:ascii="Times New Roman" w:hAnsi="Times New Roman"/>
          <w:bCs/>
          <w:sz w:val="24"/>
          <w:szCs w:val="24"/>
          <w:lang w:eastAsia="cs-CZ"/>
        </w:rPr>
        <w:t xml:space="preserve"> za menhiry považováno přes 30 kamenů (</w:t>
      </w:r>
      <w:proofErr w:type="spellStart"/>
      <w:r>
        <w:rPr>
          <w:rFonts w:ascii="Times New Roman" w:hAnsi="Times New Roman"/>
          <w:bCs/>
          <w:sz w:val="24"/>
          <w:szCs w:val="24"/>
          <w:lang w:eastAsia="cs-CZ"/>
        </w:rPr>
        <w:t>Šarič</w:t>
      </w:r>
      <w:proofErr w:type="spellEnd"/>
      <w:r>
        <w:rPr>
          <w:rFonts w:ascii="Times New Roman" w:hAnsi="Times New Roman"/>
          <w:bCs/>
          <w:sz w:val="24"/>
          <w:szCs w:val="24"/>
          <w:lang w:eastAsia="cs-CZ"/>
        </w:rPr>
        <w:t xml:space="preserve">/Štěpánek 1999). </w:t>
      </w:r>
    </w:p>
    <w:p w:rsidR="002C1370" w:rsidRDefault="002C1370" w:rsidP="002C1370">
      <w:pPr>
        <w:spacing w:after="0" w:line="480" w:lineRule="auto"/>
        <w:outlineLvl w:val="1"/>
        <w:rPr>
          <w:rFonts w:ascii="Times New Roman" w:hAnsi="Times New Roman"/>
          <w:bCs/>
          <w:sz w:val="24"/>
          <w:szCs w:val="24"/>
          <w:lang w:eastAsia="cs-CZ"/>
        </w:rPr>
      </w:pPr>
      <w:r>
        <w:rPr>
          <w:rFonts w:ascii="Times New Roman" w:hAnsi="Times New Roman"/>
          <w:bCs/>
          <w:sz w:val="24"/>
          <w:szCs w:val="24"/>
          <w:lang w:eastAsia="cs-CZ"/>
        </w:rPr>
        <w:t>C.</w:t>
      </w:r>
    </w:p>
    <w:p w:rsidR="002C1370" w:rsidRDefault="002C1370" w:rsidP="002C1370">
      <w:pPr>
        <w:spacing w:after="0" w:line="480" w:lineRule="auto"/>
        <w:outlineLvl w:val="1"/>
        <w:rPr>
          <w:rFonts w:ascii="Times New Roman" w:hAnsi="Times New Roman"/>
          <w:bCs/>
          <w:sz w:val="24"/>
          <w:szCs w:val="24"/>
          <w:lang w:eastAsia="cs-CZ"/>
        </w:rPr>
      </w:pPr>
      <w:r>
        <w:rPr>
          <w:rFonts w:ascii="Times New Roman" w:hAnsi="Times New Roman"/>
          <w:bCs/>
          <w:sz w:val="24"/>
          <w:szCs w:val="24"/>
          <w:lang w:eastAsia="cs-CZ"/>
        </w:rPr>
        <w:t xml:space="preserve">Nejznámějšími českými menhiry jsou </w:t>
      </w:r>
      <w:r>
        <w:rPr>
          <w:rFonts w:ascii="Times New Roman" w:hAnsi="Times New Roman"/>
          <w:bCs/>
          <w:i/>
          <w:sz w:val="24"/>
          <w:szCs w:val="24"/>
          <w:lang w:eastAsia="cs-CZ"/>
        </w:rPr>
        <w:t>Zkamenělý pastýř</w:t>
      </w:r>
      <w:r>
        <w:rPr>
          <w:rFonts w:ascii="Times New Roman" w:hAnsi="Times New Roman"/>
          <w:bCs/>
          <w:sz w:val="24"/>
          <w:szCs w:val="24"/>
          <w:lang w:eastAsia="cs-CZ"/>
        </w:rPr>
        <w:t xml:space="preserve"> u </w:t>
      </w:r>
      <w:proofErr w:type="spellStart"/>
      <w:r>
        <w:rPr>
          <w:rFonts w:ascii="Times New Roman" w:hAnsi="Times New Roman"/>
          <w:bCs/>
          <w:sz w:val="24"/>
          <w:szCs w:val="24"/>
          <w:lang w:eastAsia="cs-CZ"/>
        </w:rPr>
        <w:t>Klobuk</w:t>
      </w:r>
      <w:proofErr w:type="spellEnd"/>
      <w:r>
        <w:rPr>
          <w:rFonts w:ascii="Times New Roman" w:hAnsi="Times New Roman"/>
          <w:bCs/>
          <w:sz w:val="24"/>
          <w:szCs w:val="24"/>
          <w:lang w:eastAsia="cs-CZ"/>
        </w:rPr>
        <w:t xml:space="preserve"> na Slánsku a </w:t>
      </w:r>
      <w:r>
        <w:rPr>
          <w:rFonts w:ascii="Times New Roman" w:hAnsi="Times New Roman"/>
          <w:bCs/>
          <w:i/>
          <w:sz w:val="24"/>
          <w:szCs w:val="24"/>
          <w:lang w:eastAsia="cs-CZ"/>
        </w:rPr>
        <w:t>Zkamenělý mnich</w:t>
      </w:r>
      <w:r>
        <w:rPr>
          <w:rFonts w:ascii="Times New Roman" w:hAnsi="Times New Roman"/>
          <w:bCs/>
          <w:sz w:val="24"/>
          <w:szCs w:val="24"/>
          <w:lang w:eastAsia="cs-CZ"/>
        </w:rPr>
        <w:t xml:space="preserve"> u </w:t>
      </w:r>
      <w:proofErr w:type="spellStart"/>
      <w:r>
        <w:rPr>
          <w:rFonts w:ascii="Times New Roman" w:hAnsi="Times New Roman"/>
          <w:bCs/>
          <w:sz w:val="24"/>
          <w:szCs w:val="24"/>
          <w:lang w:eastAsia="cs-CZ"/>
        </w:rPr>
        <w:t>Drahomyšle</w:t>
      </w:r>
      <w:proofErr w:type="spellEnd"/>
      <w:r>
        <w:rPr>
          <w:rFonts w:ascii="Times New Roman" w:hAnsi="Times New Roman"/>
          <w:bCs/>
          <w:sz w:val="24"/>
          <w:szCs w:val="24"/>
          <w:lang w:eastAsia="cs-CZ"/>
        </w:rPr>
        <w:t xml:space="preserve"> na Lounsku. V blízkosti Prahy se nacházejí menší menhiry v Horoměřicích a ve Zbuzanech. Vážou se k nim nejrůznější mýty (např. o léčivých účincích, navracení plodnosti či úlevě od bolestí), což odpovídá legendám o britských a bretaňských menhirech. Bezdětní manželé se ke kamenům modlí např. i v Indii (</w:t>
      </w:r>
      <w:proofErr w:type="spellStart"/>
      <w:r>
        <w:rPr>
          <w:rFonts w:ascii="Times New Roman" w:hAnsi="Times New Roman"/>
          <w:bCs/>
          <w:sz w:val="24"/>
          <w:szCs w:val="24"/>
          <w:lang w:eastAsia="cs-CZ"/>
        </w:rPr>
        <w:t>Cílek</w:t>
      </w:r>
      <w:proofErr w:type="spellEnd"/>
      <w:r>
        <w:rPr>
          <w:rFonts w:ascii="Times New Roman" w:hAnsi="Times New Roman"/>
          <w:bCs/>
          <w:sz w:val="24"/>
          <w:szCs w:val="24"/>
          <w:lang w:eastAsia="cs-CZ"/>
        </w:rPr>
        <w:t xml:space="preserve"> </w:t>
      </w:r>
      <w:proofErr w:type="gramStart"/>
      <w:r>
        <w:rPr>
          <w:rFonts w:ascii="Times New Roman" w:hAnsi="Times New Roman"/>
          <w:bCs/>
          <w:sz w:val="24"/>
          <w:szCs w:val="24"/>
          <w:lang w:eastAsia="cs-CZ"/>
        </w:rPr>
        <w:t>2014:  89</w:t>
      </w:r>
      <w:proofErr w:type="gramEnd"/>
      <w:r>
        <w:rPr>
          <w:rFonts w:ascii="Times New Roman" w:hAnsi="Times New Roman"/>
          <w:bCs/>
          <w:sz w:val="24"/>
          <w:szCs w:val="24"/>
          <w:lang w:eastAsia="cs-CZ"/>
        </w:rPr>
        <w:t xml:space="preserve">). Na území hl. m. Prahy se nachází jediný menhir v Dolních Chabrech. Pro svou podobnost </w:t>
      </w:r>
      <w:r>
        <w:rPr>
          <w:rFonts w:ascii="Times New Roman" w:hAnsi="Times New Roman"/>
          <w:bCs/>
          <w:sz w:val="24"/>
          <w:szCs w:val="24"/>
          <w:lang w:eastAsia="cs-CZ"/>
        </w:rPr>
        <w:lastRenderedPageBreak/>
        <w:t xml:space="preserve">s nakloněnou mužskou postavou byl nazván </w:t>
      </w:r>
      <w:r>
        <w:rPr>
          <w:rFonts w:ascii="Times New Roman" w:hAnsi="Times New Roman"/>
          <w:bCs/>
          <w:i/>
          <w:sz w:val="24"/>
          <w:szCs w:val="24"/>
          <w:lang w:eastAsia="cs-CZ"/>
        </w:rPr>
        <w:t>Zkamenělý sluha</w:t>
      </w:r>
      <w:r>
        <w:rPr>
          <w:rFonts w:ascii="Times New Roman" w:hAnsi="Times New Roman"/>
          <w:bCs/>
          <w:sz w:val="24"/>
          <w:szCs w:val="24"/>
          <w:lang w:eastAsia="cs-CZ"/>
        </w:rPr>
        <w:t xml:space="preserve">. Do 30. let 20. století stál osaměle poblíž křižovatky starých cest a – jak je typické i pro jiné menhiry – poskytoval neokázalý výhled do krajiny; nyní je obklopen rodinnými domy. Předpokládá se, že reflektoval geometrické vztahy a souvislosti s letním a zimním slunovratem a že v krajině vytvářel jakýsi „obzorový kalendář“ (Mrňavá/Snížková 2006: 1). </w:t>
      </w:r>
    </w:p>
    <w:p w:rsidR="002C1370" w:rsidRDefault="002C1370" w:rsidP="002C1370">
      <w:pPr>
        <w:spacing w:after="0" w:line="480" w:lineRule="auto"/>
        <w:outlineLvl w:val="1"/>
        <w:rPr>
          <w:rFonts w:ascii="Times New Roman" w:hAnsi="Times New Roman"/>
          <w:bCs/>
          <w:sz w:val="24"/>
          <w:szCs w:val="24"/>
          <w:lang w:eastAsia="cs-CZ"/>
        </w:rPr>
      </w:pPr>
      <w:r>
        <w:rPr>
          <w:rFonts w:ascii="Times New Roman" w:hAnsi="Times New Roman"/>
          <w:bCs/>
          <w:sz w:val="24"/>
          <w:szCs w:val="24"/>
          <w:lang w:eastAsia="cs-CZ"/>
        </w:rPr>
        <w:t>D.</w:t>
      </w:r>
    </w:p>
    <w:p w:rsidR="002C1370" w:rsidRDefault="002C1370" w:rsidP="002C1370">
      <w:pPr>
        <w:spacing w:after="0" w:line="480" w:lineRule="auto"/>
        <w:outlineLvl w:val="1"/>
        <w:rPr>
          <w:rFonts w:ascii="Times New Roman" w:hAnsi="Times New Roman"/>
          <w:bCs/>
          <w:sz w:val="24"/>
          <w:szCs w:val="24"/>
          <w:lang w:eastAsia="cs-CZ"/>
        </w:rPr>
      </w:pPr>
      <w:r>
        <w:rPr>
          <w:rFonts w:ascii="Times New Roman" w:hAnsi="Times New Roman"/>
          <w:bCs/>
          <w:sz w:val="24"/>
          <w:szCs w:val="24"/>
          <w:lang w:eastAsia="cs-CZ"/>
        </w:rPr>
        <w:t xml:space="preserve">Linie záměrně postavené z kamenů se označují jako kamenné řady. Jejich nejznámějším evropským dokladem jsou kamenné řady v bretaňském </w:t>
      </w:r>
      <w:proofErr w:type="spellStart"/>
      <w:r>
        <w:rPr>
          <w:rFonts w:ascii="Times New Roman" w:hAnsi="Times New Roman"/>
          <w:bCs/>
          <w:sz w:val="24"/>
          <w:szCs w:val="24"/>
          <w:lang w:eastAsia="cs-CZ"/>
        </w:rPr>
        <w:t>Carnacu</w:t>
      </w:r>
      <w:proofErr w:type="spellEnd"/>
      <w:r>
        <w:rPr>
          <w:rFonts w:ascii="Times New Roman" w:hAnsi="Times New Roman"/>
          <w:bCs/>
          <w:sz w:val="24"/>
          <w:szCs w:val="24"/>
          <w:lang w:eastAsia="cs-CZ"/>
        </w:rPr>
        <w:t xml:space="preserve">, na českém území jsou to Kounovské kamenné řady u Mutějovic. Spekuluje se, že řadami se chodilo a v ohradách probíhaly posvátné obřady. </w:t>
      </w:r>
      <w:proofErr w:type="spellStart"/>
      <w:r>
        <w:rPr>
          <w:rFonts w:ascii="Times New Roman" w:hAnsi="Times New Roman"/>
          <w:bCs/>
          <w:sz w:val="24"/>
          <w:szCs w:val="24"/>
          <w:lang w:eastAsia="cs-CZ"/>
        </w:rPr>
        <w:t>Cílek</w:t>
      </w:r>
      <w:proofErr w:type="spellEnd"/>
      <w:r>
        <w:rPr>
          <w:rFonts w:ascii="Times New Roman" w:hAnsi="Times New Roman"/>
          <w:bCs/>
          <w:sz w:val="24"/>
          <w:szCs w:val="24"/>
          <w:lang w:eastAsia="cs-CZ"/>
        </w:rPr>
        <w:t xml:space="preserve"> (2014: 19) oproti ideální geometrii starého Egypta pozoruje u evropských řad „ekologickou“ nepředvídatelnost, která respektuje reliéf krajiny. </w:t>
      </w:r>
    </w:p>
    <w:p w:rsidR="002C1370" w:rsidRDefault="002C1370" w:rsidP="002C1370">
      <w:pPr>
        <w:spacing w:after="0" w:line="480" w:lineRule="auto"/>
        <w:outlineLvl w:val="1"/>
        <w:rPr>
          <w:rFonts w:ascii="Times New Roman" w:hAnsi="Times New Roman"/>
          <w:bCs/>
          <w:sz w:val="24"/>
          <w:szCs w:val="24"/>
          <w:lang w:eastAsia="cs-CZ"/>
        </w:rPr>
      </w:pPr>
      <w:r>
        <w:rPr>
          <w:rFonts w:ascii="Times New Roman" w:hAnsi="Times New Roman"/>
          <w:bCs/>
          <w:sz w:val="24"/>
          <w:szCs w:val="24"/>
          <w:lang w:eastAsia="cs-CZ"/>
        </w:rPr>
        <w:t>E.</w:t>
      </w:r>
    </w:p>
    <w:p w:rsidR="002C1370" w:rsidRDefault="002C1370" w:rsidP="002C1370">
      <w:pPr>
        <w:spacing w:after="0" w:line="480" w:lineRule="auto"/>
        <w:outlineLvl w:val="1"/>
        <w:rPr>
          <w:rFonts w:ascii="Times New Roman" w:hAnsi="Times New Roman"/>
          <w:bCs/>
          <w:sz w:val="24"/>
          <w:szCs w:val="24"/>
          <w:lang w:eastAsia="cs-CZ"/>
        </w:rPr>
      </w:pPr>
      <w:r>
        <w:rPr>
          <w:rFonts w:ascii="Times New Roman" w:hAnsi="Times New Roman"/>
          <w:bCs/>
          <w:sz w:val="24"/>
          <w:szCs w:val="24"/>
          <w:lang w:eastAsia="cs-CZ"/>
        </w:rPr>
        <w:t xml:space="preserve">Kamenná uskupení se vyznačují kombinací pravidelnosti a nepravidelnosti. Příkladem je </w:t>
      </w:r>
      <w:proofErr w:type="spellStart"/>
      <w:r>
        <w:rPr>
          <w:rFonts w:ascii="Times New Roman" w:hAnsi="Times New Roman"/>
          <w:bCs/>
          <w:i/>
          <w:sz w:val="24"/>
          <w:szCs w:val="24"/>
          <w:lang w:eastAsia="cs-CZ"/>
        </w:rPr>
        <w:t>Boitiner</w:t>
      </w:r>
      <w:proofErr w:type="spellEnd"/>
      <w:r>
        <w:rPr>
          <w:rFonts w:ascii="Times New Roman" w:hAnsi="Times New Roman"/>
          <w:bCs/>
          <w:i/>
          <w:sz w:val="24"/>
          <w:szCs w:val="24"/>
          <w:lang w:eastAsia="cs-CZ"/>
        </w:rPr>
        <w:t xml:space="preserve"> </w:t>
      </w:r>
      <w:proofErr w:type="spellStart"/>
      <w:proofErr w:type="gramStart"/>
      <w:r>
        <w:rPr>
          <w:rFonts w:ascii="Times New Roman" w:hAnsi="Times New Roman"/>
          <w:bCs/>
          <w:i/>
          <w:sz w:val="24"/>
          <w:szCs w:val="24"/>
          <w:lang w:eastAsia="cs-CZ"/>
        </w:rPr>
        <w:t>Steintanz</w:t>
      </w:r>
      <w:proofErr w:type="spellEnd"/>
      <w:r>
        <w:rPr>
          <w:rFonts w:ascii="Times New Roman" w:hAnsi="Times New Roman"/>
          <w:bCs/>
          <w:sz w:val="24"/>
          <w:szCs w:val="24"/>
          <w:lang w:eastAsia="cs-CZ"/>
        </w:rPr>
        <w:t xml:space="preserve"> (,</w:t>
      </w:r>
      <w:proofErr w:type="spellStart"/>
      <w:r>
        <w:rPr>
          <w:rFonts w:ascii="Times New Roman" w:hAnsi="Times New Roman"/>
          <w:bCs/>
          <w:sz w:val="24"/>
          <w:szCs w:val="24"/>
          <w:lang w:eastAsia="cs-CZ"/>
        </w:rPr>
        <w:t>Boitinský</w:t>
      </w:r>
      <w:proofErr w:type="spellEnd"/>
      <w:proofErr w:type="gramEnd"/>
      <w:r>
        <w:rPr>
          <w:rFonts w:ascii="Times New Roman" w:hAnsi="Times New Roman"/>
          <w:bCs/>
          <w:sz w:val="24"/>
          <w:szCs w:val="24"/>
          <w:lang w:eastAsia="cs-CZ"/>
        </w:rPr>
        <w:t xml:space="preserve"> kamenný tanec‘) v německé spolkové zemi Meklenbursko-Přední Pomořansko. Fascinace záhadnými menhiry a kamennými uskupeními se projevuje i v dnešní době, kdy banky, hotely, venkovské statky a esotericky založení lidé na svých zahradách či volných prostranstvích vztyčují kameny, např. </w:t>
      </w:r>
      <w:proofErr w:type="spellStart"/>
      <w:r>
        <w:rPr>
          <w:rFonts w:ascii="Times New Roman" w:hAnsi="Times New Roman"/>
          <w:bCs/>
          <w:sz w:val="24"/>
          <w:szCs w:val="24"/>
          <w:lang w:eastAsia="cs-CZ"/>
        </w:rPr>
        <w:t>novomegalitické</w:t>
      </w:r>
      <w:proofErr w:type="spellEnd"/>
      <w:r>
        <w:rPr>
          <w:rFonts w:ascii="Times New Roman" w:hAnsi="Times New Roman"/>
          <w:bCs/>
          <w:sz w:val="24"/>
          <w:szCs w:val="24"/>
          <w:lang w:eastAsia="cs-CZ"/>
        </w:rPr>
        <w:t xml:space="preserve"> uskupení </w:t>
      </w:r>
      <w:proofErr w:type="spellStart"/>
      <w:r>
        <w:rPr>
          <w:rFonts w:ascii="Times New Roman" w:hAnsi="Times New Roman"/>
          <w:bCs/>
          <w:i/>
          <w:sz w:val="24"/>
          <w:szCs w:val="24"/>
          <w:lang w:eastAsia="cs-CZ"/>
        </w:rPr>
        <w:t>Große</w:t>
      </w:r>
      <w:proofErr w:type="spellEnd"/>
      <w:r>
        <w:rPr>
          <w:rFonts w:ascii="Times New Roman" w:hAnsi="Times New Roman"/>
          <w:bCs/>
          <w:i/>
          <w:sz w:val="24"/>
          <w:szCs w:val="24"/>
          <w:lang w:eastAsia="cs-CZ"/>
        </w:rPr>
        <w:t xml:space="preserve"> </w:t>
      </w:r>
      <w:proofErr w:type="gramStart"/>
      <w:r>
        <w:rPr>
          <w:rFonts w:ascii="Times New Roman" w:hAnsi="Times New Roman"/>
          <w:bCs/>
          <w:i/>
          <w:sz w:val="24"/>
          <w:szCs w:val="24"/>
          <w:lang w:eastAsia="cs-CZ"/>
        </w:rPr>
        <w:t>Basilika</w:t>
      </w:r>
      <w:r>
        <w:rPr>
          <w:rFonts w:ascii="Times New Roman" w:hAnsi="Times New Roman"/>
          <w:bCs/>
          <w:sz w:val="24"/>
          <w:szCs w:val="24"/>
          <w:lang w:eastAsia="cs-CZ"/>
        </w:rPr>
        <w:t xml:space="preserve"> (,Velká</w:t>
      </w:r>
      <w:proofErr w:type="gramEnd"/>
      <w:r>
        <w:rPr>
          <w:rFonts w:ascii="Times New Roman" w:hAnsi="Times New Roman"/>
          <w:bCs/>
          <w:sz w:val="24"/>
          <w:szCs w:val="24"/>
          <w:lang w:eastAsia="cs-CZ"/>
        </w:rPr>
        <w:t xml:space="preserve"> Bazilika‘) u rakouského </w:t>
      </w:r>
      <w:proofErr w:type="spellStart"/>
      <w:r>
        <w:rPr>
          <w:rFonts w:ascii="Times New Roman" w:hAnsi="Times New Roman"/>
          <w:bCs/>
          <w:sz w:val="24"/>
          <w:szCs w:val="24"/>
          <w:lang w:eastAsia="cs-CZ"/>
        </w:rPr>
        <w:t>Waidhofenu</w:t>
      </w:r>
      <w:proofErr w:type="spellEnd"/>
      <w:r>
        <w:rPr>
          <w:rFonts w:ascii="Times New Roman" w:hAnsi="Times New Roman"/>
          <w:bCs/>
          <w:sz w:val="24"/>
          <w:szCs w:val="24"/>
          <w:lang w:eastAsia="cs-CZ"/>
        </w:rPr>
        <w:t xml:space="preserve"> nad Dyjí nebo </w:t>
      </w:r>
      <w:proofErr w:type="spellStart"/>
      <w:r>
        <w:rPr>
          <w:rFonts w:ascii="Times New Roman" w:hAnsi="Times New Roman"/>
          <w:bCs/>
          <w:i/>
          <w:sz w:val="24"/>
          <w:szCs w:val="24"/>
          <w:lang w:eastAsia="cs-CZ"/>
        </w:rPr>
        <w:t>Lichtenhäger</w:t>
      </w:r>
      <w:proofErr w:type="spellEnd"/>
      <w:r>
        <w:rPr>
          <w:rFonts w:ascii="Times New Roman" w:hAnsi="Times New Roman"/>
          <w:bCs/>
          <w:i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hAnsi="Times New Roman"/>
          <w:bCs/>
          <w:i/>
          <w:sz w:val="24"/>
          <w:szCs w:val="24"/>
          <w:lang w:eastAsia="cs-CZ"/>
        </w:rPr>
        <w:t>Findlingsgarten</w:t>
      </w:r>
      <w:proofErr w:type="spellEnd"/>
      <w:r>
        <w:rPr>
          <w:rFonts w:ascii="Times New Roman" w:hAnsi="Times New Roman"/>
          <w:bCs/>
          <w:sz w:val="24"/>
          <w:szCs w:val="24"/>
          <w:lang w:eastAsia="cs-CZ"/>
        </w:rPr>
        <w:t xml:space="preserve"> (,</w:t>
      </w:r>
      <w:proofErr w:type="spellStart"/>
      <w:r>
        <w:rPr>
          <w:rFonts w:ascii="Times New Roman" w:hAnsi="Times New Roman"/>
          <w:bCs/>
          <w:sz w:val="24"/>
          <w:szCs w:val="24"/>
          <w:lang w:eastAsia="cs-CZ"/>
        </w:rPr>
        <w:t>Lichtenhagenská</w:t>
      </w:r>
      <w:proofErr w:type="spellEnd"/>
      <w:r>
        <w:rPr>
          <w:rFonts w:ascii="Times New Roman" w:hAnsi="Times New Roman"/>
          <w:bCs/>
          <w:sz w:val="24"/>
          <w:szCs w:val="24"/>
          <w:lang w:eastAsia="cs-CZ"/>
        </w:rPr>
        <w:t xml:space="preserve"> zahrada bludných balvanů‘) ve vsi </w:t>
      </w:r>
      <w:proofErr w:type="spellStart"/>
      <w:r>
        <w:rPr>
          <w:rFonts w:ascii="Times New Roman" w:hAnsi="Times New Roman"/>
          <w:bCs/>
          <w:sz w:val="24"/>
          <w:szCs w:val="24"/>
          <w:lang w:eastAsia="cs-CZ"/>
        </w:rPr>
        <w:t>Lichtenhagen</w:t>
      </w:r>
      <w:proofErr w:type="spellEnd"/>
      <w:r>
        <w:rPr>
          <w:rFonts w:ascii="Times New Roman" w:hAnsi="Times New Roman"/>
          <w:bCs/>
          <w:sz w:val="24"/>
          <w:szCs w:val="24"/>
          <w:lang w:eastAsia="cs-CZ"/>
        </w:rPr>
        <w:t xml:space="preserve"> u německého Rostocku, kde jsou kameny postaveny do tvarů zvířat. Estetické vyznění moderních kamenných uskupení je hodnoceno rozporuplně, někdy podobné výtvory působí spíše jako vystavování na odiv než jako snaha o hledání tradice, navíc krajina přichází o kameny ve svém přirozeném umístění. Jisté však je, že vztyčené kameny působí na lidské emoce a probouzí imaginaci kolemjdoucích. </w:t>
      </w:r>
    </w:p>
    <w:p w:rsidR="00A67D34" w:rsidRDefault="00A67D34"/>
    <w:sectPr w:rsidR="00A67D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370"/>
    <w:rsid w:val="002C1370"/>
    <w:rsid w:val="00A27F24"/>
    <w:rsid w:val="00A67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E0FE72-2095-41F8-8C2C-04228BBAD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C1370"/>
    <w:pPr>
      <w:spacing w:line="256" w:lineRule="auto"/>
    </w:pPr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C13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137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919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348DBB-6E59-415C-AB2B-9542B2572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503</Words>
  <Characters>2974</Characters>
  <Application>Microsoft Office Word</Application>
  <DocSecurity>0</DocSecurity>
  <Lines>24</Lines>
  <Paragraphs>6</Paragraphs>
  <ScaleCrop>false</ScaleCrop>
  <Company>Městská část Praha 10</Company>
  <LinksUpToDate>false</LinksUpToDate>
  <CharactersWithSpaces>3471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ZMČ Vávra Zdeněk, Ing. (ÚMČ Praha 10)</dc:creator>
  <cp:keywords/>
  <dc:description/>
  <cp:lastModifiedBy>ZMČ Vávra Zdeněk, Ing. (ÚMČ Praha 10)</cp:lastModifiedBy>
  <cp:revision>2</cp:revision>
  <cp:lastPrinted>2016-05-26T18:01:00Z</cp:lastPrinted>
  <dcterms:created xsi:type="dcterms:W3CDTF">2016-05-26T17:56:00Z</dcterms:created>
  <dcterms:modified xsi:type="dcterms:W3CDTF">2016-05-26T18:11:00Z</dcterms:modified>
</cp:coreProperties>
</file>