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7F2D" w:rsidRDefault="001C7F2D" w:rsidP="001C7F2D">
      <w:pPr>
        <w:spacing w:after="0" w:line="432" w:lineRule="auto"/>
        <w:outlineLvl w:val="1"/>
        <w:rPr>
          <w:rFonts w:ascii="Times New Roman" w:hAnsi="Times New Roman"/>
          <w:b/>
          <w:bCs/>
          <w:sz w:val="24"/>
          <w:szCs w:val="24"/>
          <w:lang w:val="de-DE" w:eastAsia="cs-CZ"/>
        </w:rPr>
      </w:pPr>
      <w:r w:rsidRPr="001C7F2D">
        <w:rPr>
          <w:rFonts w:ascii="Times New Roman" w:hAnsi="Times New Roman"/>
          <w:b/>
          <w:bCs/>
          <w:sz w:val="24"/>
          <w:szCs w:val="24"/>
          <w:lang w:val="de-DE" w:eastAsia="cs-CZ"/>
        </w:rPr>
        <w:t>AUFRECHT AUFGESTELLTE STEINE IM FREMDENVERKEHR</w:t>
      </w:r>
      <w:r>
        <w:rPr>
          <w:rFonts w:ascii="Times New Roman" w:hAnsi="Times New Roman"/>
          <w:b/>
          <w:bCs/>
          <w:sz w:val="24"/>
          <w:szCs w:val="24"/>
          <w:lang w:val="de-DE" w:eastAsia="cs-CZ"/>
        </w:rPr>
        <w:t xml:space="preserve"> (Schritt 2)</w:t>
      </w:r>
    </w:p>
    <w:p w:rsidR="001C7F2D" w:rsidRDefault="001C7F2D" w:rsidP="001C7F2D">
      <w:pPr>
        <w:spacing w:after="0" w:line="432" w:lineRule="auto"/>
        <w:outlineLvl w:val="1"/>
        <w:rPr>
          <w:rFonts w:ascii="Times New Roman" w:hAnsi="Times New Roman"/>
          <w:bCs/>
          <w:i/>
          <w:sz w:val="24"/>
          <w:szCs w:val="24"/>
          <w:lang w:val="de-DE" w:eastAsia="cs-CZ"/>
        </w:rPr>
      </w:pPr>
      <w:r>
        <w:rPr>
          <w:rFonts w:ascii="Times New Roman" w:hAnsi="Times New Roman"/>
          <w:bCs/>
          <w:i/>
          <w:sz w:val="24"/>
          <w:szCs w:val="24"/>
          <w:lang w:val="de-DE" w:eastAsia="cs-CZ"/>
        </w:rPr>
        <w:t>Zdeněk Vávra</w:t>
      </w:r>
    </w:p>
    <w:p w:rsidR="001C7F2D" w:rsidRPr="001C7F2D" w:rsidRDefault="001C7F2D" w:rsidP="001C7F2D">
      <w:pPr>
        <w:spacing w:after="0" w:line="432" w:lineRule="auto"/>
        <w:outlineLvl w:val="1"/>
        <w:rPr>
          <w:rFonts w:ascii="Times New Roman" w:hAnsi="Times New Roman"/>
          <w:bCs/>
          <w:sz w:val="24"/>
          <w:szCs w:val="24"/>
          <w:lang w:val="de-DE" w:eastAsia="cs-CZ"/>
        </w:rPr>
      </w:pPr>
      <w:r>
        <w:rPr>
          <w:rFonts w:ascii="Times New Roman" w:hAnsi="Times New Roman"/>
          <w:bCs/>
          <w:sz w:val="24"/>
          <w:szCs w:val="24"/>
          <w:lang w:val="de-DE" w:eastAsia="cs-CZ"/>
        </w:rPr>
        <w:t>A.</w:t>
      </w:r>
    </w:p>
    <w:p w:rsidR="001C7F2D" w:rsidRDefault="001C7F2D" w:rsidP="001C7F2D">
      <w:pPr>
        <w:spacing w:after="0" w:line="432" w:lineRule="auto"/>
        <w:outlineLvl w:val="1"/>
        <w:rPr>
          <w:rFonts w:ascii="Times New Roman" w:hAnsi="Times New Roman"/>
          <w:bCs/>
          <w:sz w:val="24"/>
          <w:szCs w:val="24"/>
          <w:lang w:val="de-DE" w:eastAsia="cs-CZ"/>
        </w:rPr>
      </w:pPr>
      <w:r>
        <w:rPr>
          <w:rFonts w:ascii="Times New Roman" w:hAnsi="Times New Roman"/>
          <w:bCs/>
          <w:sz w:val="24"/>
          <w:szCs w:val="24"/>
          <w:lang w:val="de-DE" w:eastAsia="cs-CZ"/>
        </w:rPr>
        <w:t xml:space="preserve">Zuerst werden wir beurteilen, welche Stelle Gedenksteine unter verschiedenen Arten von aufrecht gestellten Steinen einnehmen. Die aufrecht gestellten Steine kann man aus der Sicht der wissenschaftlichen Erkenntnis in Steine unklaren Ursprungs und in Steine mit einer eindeutig identifizierbaren Bestimmung unterteilen. Zu der ersten Gruppe gehören Menhire, Steinreihen und Steingruppen. Ihr gemeinsames charakteristisches Merkmal sind Unklarheiten hinsichtlich des Alters, des Ursprungs und des Zwecks. </w:t>
      </w:r>
    </w:p>
    <w:p w:rsidR="001C7F2D" w:rsidRDefault="001C7F2D" w:rsidP="001C7F2D">
      <w:pPr>
        <w:spacing w:after="0" w:line="432" w:lineRule="auto"/>
        <w:outlineLvl w:val="1"/>
        <w:rPr>
          <w:rFonts w:ascii="Times New Roman" w:hAnsi="Times New Roman"/>
          <w:bCs/>
          <w:sz w:val="24"/>
          <w:szCs w:val="24"/>
          <w:lang w:val="de-DE" w:eastAsia="cs-CZ"/>
        </w:rPr>
      </w:pPr>
      <w:r>
        <w:rPr>
          <w:rFonts w:ascii="Times New Roman" w:hAnsi="Times New Roman"/>
          <w:bCs/>
          <w:sz w:val="24"/>
          <w:szCs w:val="24"/>
          <w:lang w:val="de-DE" w:eastAsia="cs-CZ"/>
        </w:rPr>
        <w:t>B.</w:t>
      </w:r>
    </w:p>
    <w:p w:rsidR="001C7F2D" w:rsidRDefault="001C7F2D" w:rsidP="001C7F2D">
      <w:pPr>
        <w:spacing w:after="0" w:line="432" w:lineRule="auto"/>
        <w:outlineLvl w:val="1"/>
        <w:rPr>
          <w:rFonts w:ascii="Times New Roman" w:hAnsi="Times New Roman"/>
          <w:bCs/>
          <w:sz w:val="24"/>
          <w:szCs w:val="24"/>
          <w:lang w:eastAsia="cs-CZ"/>
        </w:rPr>
      </w:pPr>
      <w:r>
        <w:rPr>
          <w:rFonts w:ascii="Times New Roman" w:hAnsi="Times New Roman"/>
          <w:bCs/>
          <w:sz w:val="24"/>
          <w:szCs w:val="24"/>
          <w:lang w:val="de-DE" w:eastAsia="cs-CZ"/>
        </w:rPr>
        <w:t>Die Menhire sind längliche Einzelsteine, die von Menschenhand aufgestellt wurden. Die ältesten Menhire in Nordeuropa datiert man auf 4500 Jahre v. Chr. (</w:t>
      </w:r>
      <w:proofErr w:type="spellStart"/>
      <w:r>
        <w:rPr>
          <w:rFonts w:ascii="Times New Roman" w:hAnsi="Times New Roman"/>
          <w:bCs/>
          <w:sz w:val="24"/>
          <w:szCs w:val="24"/>
          <w:lang w:val="de-DE" w:eastAsia="cs-CZ"/>
        </w:rPr>
        <w:t>Cílek</w:t>
      </w:r>
      <w:proofErr w:type="spellEnd"/>
      <w:r>
        <w:rPr>
          <w:rFonts w:ascii="Times New Roman" w:hAnsi="Times New Roman"/>
          <w:bCs/>
          <w:sz w:val="24"/>
          <w:szCs w:val="24"/>
          <w:lang w:val="de-DE" w:eastAsia="cs-CZ"/>
        </w:rPr>
        <w:t xml:space="preserve"> 2014: 25). Eine Menge von megalithischen Denkmalen befindet sich vor allem in Irland, England, in der Bretagne und auf Malta. Mal kann man bei manchen Menhiren eine durchdachte Orientierung zurückverfolgen, mal scheinen sie chaotisch platziert zu sein. </w:t>
      </w:r>
      <w:proofErr w:type="spellStart"/>
      <w:r>
        <w:rPr>
          <w:rFonts w:ascii="Times New Roman" w:hAnsi="Times New Roman"/>
          <w:bCs/>
          <w:sz w:val="24"/>
          <w:szCs w:val="24"/>
          <w:lang w:val="de-DE" w:eastAsia="cs-CZ"/>
        </w:rPr>
        <w:t>Cílek</w:t>
      </w:r>
      <w:proofErr w:type="spellEnd"/>
      <w:r>
        <w:rPr>
          <w:rFonts w:ascii="Times New Roman" w:hAnsi="Times New Roman"/>
          <w:bCs/>
          <w:sz w:val="24"/>
          <w:szCs w:val="24"/>
          <w:lang w:val="de-DE" w:eastAsia="cs-CZ"/>
        </w:rPr>
        <w:t xml:space="preserve"> führt an, dass „die typische Platzierung eines megalithischen Denkmals in Nordeuropa so ist, dass es eine Aussicht in die Umgebung hat und in Richtung Wasserflächen und -quellen orientiert ist“ </w:t>
      </w:r>
      <w:r>
        <w:rPr>
          <w:rFonts w:ascii="Times New Roman" w:hAnsi="Times New Roman"/>
          <w:bCs/>
          <w:sz w:val="24"/>
          <w:szCs w:val="24"/>
          <w:lang w:eastAsia="cs-CZ"/>
        </w:rPr>
        <w:t>(</w:t>
      </w:r>
      <w:proofErr w:type="spellStart"/>
      <w:r>
        <w:rPr>
          <w:rFonts w:ascii="Times New Roman" w:hAnsi="Times New Roman"/>
          <w:bCs/>
          <w:sz w:val="24"/>
          <w:szCs w:val="24"/>
          <w:lang w:eastAsia="cs-CZ"/>
        </w:rPr>
        <w:t>Cílek</w:t>
      </w:r>
      <w:proofErr w:type="spellEnd"/>
      <w:r>
        <w:rPr>
          <w:rFonts w:ascii="Times New Roman" w:hAnsi="Times New Roman"/>
          <w:bCs/>
          <w:sz w:val="24"/>
          <w:szCs w:val="24"/>
          <w:lang w:eastAsia="cs-CZ"/>
        </w:rPr>
        <w:t xml:space="preserve">, 2014: 23). </w:t>
      </w:r>
      <w:r>
        <w:rPr>
          <w:rFonts w:ascii="Times New Roman" w:hAnsi="Times New Roman"/>
          <w:bCs/>
          <w:sz w:val="24"/>
          <w:szCs w:val="24"/>
          <w:lang w:val="de-DE" w:eastAsia="cs-CZ"/>
        </w:rPr>
        <w:t xml:space="preserve">In tschechischen Verhältnissen handelt es sich eher um eine Bindung an den Boden und an die Hügel am Horizont. Laut Publikation </w:t>
      </w:r>
      <w:proofErr w:type="spellStart"/>
      <w:r>
        <w:rPr>
          <w:rFonts w:ascii="Times New Roman" w:hAnsi="Times New Roman"/>
          <w:bCs/>
          <w:i/>
          <w:sz w:val="24"/>
          <w:szCs w:val="24"/>
          <w:lang w:val="de-DE" w:eastAsia="cs-CZ"/>
        </w:rPr>
        <w:t>České</w:t>
      </w:r>
      <w:proofErr w:type="spellEnd"/>
      <w:r>
        <w:rPr>
          <w:rFonts w:ascii="Times New Roman" w:hAnsi="Times New Roman"/>
          <w:bCs/>
          <w:i/>
          <w:sz w:val="24"/>
          <w:szCs w:val="24"/>
          <w:lang w:val="de-DE" w:eastAsia="cs-CZ"/>
        </w:rPr>
        <w:t xml:space="preserve"> </w:t>
      </w:r>
      <w:proofErr w:type="spellStart"/>
      <w:r>
        <w:rPr>
          <w:rFonts w:ascii="Times New Roman" w:hAnsi="Times New Roman"/>
          <w:bCs/>
          <w:i/>
          <w:sz w:val="24"/>
          <w:szCs w:val="24"/>
          <w:lang w:val="de-DE" w:eastAsia="cs-CZ"/>
        </w:rPr>
        <w:t>megality</w:t>
      </w:r>
      <w:proofErr w:type="spellEnd"/>
      <w:r>
        <w:rPr>
          <w:rFonts w:ascii="Times New Roman" w:hAnsi="Times New Roman"/>
          <w:bCs/>
          <w:sz w:val="24"/>
          <w:szCs w:val="24"/>
          <w:lang w:val="de-DE" w:eastAsia="cs-CZ"/>
        </w:rPr>
        <w:t xml:space="preserve"> (</w:t>
      </w:r>
      <w:proofErr w:type="gramStart"/>
      <w:r>
        <w:rPr>
          <w:rFonts w:ascii="Times New Roman" w:hAnsi="Times New Roman"/>
          <w:bCs/>
          <w:sz w:val="24"/>
          <w:szCs w:val="24"/>
          <w:lang w:val="de-DE" w:eastAsia="cs-CZ"/>
        </w:rPr>
        <w:t>,Tschechische</w:t>
      </w:r>
      <w:proofErr w:type="gramEnd"/>
      <w:r>
        <w:rPr>
          <w:rFonts w:ascii="Times New Roman" w:hAnsi="Times New Roman"/>
          <w:bCs/>
          <w:sz w:val="24"/>
          <w:szCs w:val="24"/>
          <w:lang w:val="de-DE" w:eastAsia="cs-CZ"/>
        </w:rPr>
        <w:t xml:space="preserve"> </w:t>
      </w:r>
      <w:proofErr w:type="spellStart"/>
      <w:r>
        <w:rPr>
          <w:rFonts w:ascii="Times New Roman" w:hAnsi="Times New Roman"/>
          <w:bCs/>
          <w:sz w:val="24"/>
          <w:szCs w:val="24"/>
          <w:lang w:val="de-DE" w:eastAsia="cs-CZ"/>
        </w:rPr>
        <w:t>Megalithe</w:t>
      </w:r>
      <w:proofErr w:type="spellEnd"/>
      <w:r>
        <w:rPr>
          <w:rFonts w:ascii="Times New Roman" w:hAnsi="Times New Roman"/>
          <w:bCs/>
          <w:sz w:val="24"/>
          <w:szCs w:val="24"/>
          <w:lang w:val="de-DE" w:eastAsia="cs-CZ"/>
        </w:rPr>
        <w:t xml:space="preserve">‘) werden in der Tschechischen Republik mehr als 30 Steine für Menhire gehalten </w:t>
      </w:r>
      <w:r>
        <w:rPr>
          <w:rFonts w:ascii="Times New Roman" w:hAnsi="Times New Roman"/>
          <w:bCs/>
          <w:sz w:val="24"/>
          <w:szCs w:val="24"/>
          <w:lang w:eastAsia="cs-CZ"/>
        </w:rPr>
        <w:t>(</w:t>
      </w:r>
      <w:proofErr w:type="spellStart"/>
      <w:r>
        <w:rPr>
          <w:rFonts w:ascii="Times New Roman" w:hAnsi="Times New Roman"/>
          <w:bCs/>
          <w:sz w:val="24"/>
          <w:szCs w:val="24"/>
          <w:lang w:eastAsia="cs-CZ"/>
        </w:rPr>
        <w:t>Šarič</w:t>
      </w:r>
      <w:proofErr w:type="spellEnd"/>
      <w:r>
        <w:rPr>
          <w:rFonts w:ascii="Times New Roman" w:hAnsi="Times New Roman"/>
          <w:bCs/>
          <w:sz w:val="24"/>
          <w:szCs w:val="24"/>
          <w:lang w:eastAsia="cs-CZ"/>
        </w:rPr>
        <w:t xml:space="preserve"> /Štěpánek 1999). </w:t>
      </w:r>
    </w:p>
    <w:p w:rsidR="001C7F2D" w:rsidRDefault="001C7F2D" w:rsidP="001C7F2D">
      <w:pPr>
        <w:spacing w:after="0" w:line="432" w:lineRule="auto"/>
        <w:outlineLvl w:val="1"/>
        <w:rPr>
          <w:rFonts w:ascii="Times New Roman" w:hAnsi="Times New Roman"/>
          <w:bCs/>
          <w:sz w:val="24"/>
          <w:szCs w:val="24"/>
          <w:lang w:eastAsia="cs-CZ"/>
        </w:rPr>
      </w:pPr>
      <w:r>
        <w:rPr>
          <w:rFonts w:ascii="Times New Roman" w:hAnsi="Times New Roman"/>
          <w:bCs/>
          <w:sz w:val="24"/>
          <w:szCs w:val="24"/>
          <w:lang w:eastAsia="cs-CZ"/>
        </w:rPr>
        <w:t>C.</w:t>
      </w:r>
    </w:p>
    <w:p w:rsidR="001C7F2D" w:rsidRDefault="001C7F2D" w:rsidP="001C7F2D">
      <w:pPr>
        <w:spacing w:after="0" w:line="432" w:lineRule="auto"/>
        <w:outlineLvl w:val="1"/>
        <w:rPr>
          <w:rFonts w:ascii="Times New Roman" w:hAnsi="Times New Roman"/>
          <w:bCs/>
          <w:sz w:val="24"/>
          <w:szCs w:val="24"/>
          <w:lang w:eastAsia="cs-CZ"/>
        </w:rPr>
      </w:pPr>
      <w:r>
        <w:rPr>
          <w:rFonts w:ascii="Times New Roman" w:hAnsi="Times New Roman"/>
          <w:bCs/>
          <w:sz w:val="24"/>
          <w:szCs w:val="24"/>
          <w:lang w:val="de-DE" w:eastAsia="cs-CZ"/>
        </w:rPr>
        <w:t xml:space="preserve">Die bekanntesten tschechischen Menhire sind </w:t>
      </w:r>
      <w:r>
        <w:rPr>
          <w:rFonts w:ascii="Times New Roman" w:hAnsi="Times New Roman"/>
          <w:bCs/>
          <w:i/>
          <w:sz w:val="24"/>
          <w:szCs w:val="24"/>
          <w:lang w:eastAsia="cs-CZ"/>
        </w:rPr>
        <w:t>Zkamenělý pastýř</w:t>
      </w:r>
      <w:r>
        <w:rPr>
          <w:rFonts w:ascii="Times New Roman" w:hAnsi="Times New Roman"/>
          <w:bCs/>
          <w:sz w:val="24"/>
          <w:szCs w:val="24"/>
          <w:lang w:eastAsia="cs-CZ"/>
        </w:rPr>
        <w:t xml:space="preserve"> (</w:t>
      </w:r>
      <w:proofErr w:type="gramStart"/>
      <w:r>
        <w:rPr>
          <w:rFonts w:ascii="Times New Roman" w:hAnsi="Times New Roman"/>
          <w:bCs/>
          <w:sz w:val="24"/>
          <w:szCs w:val="24"/>
          <w:lang w:val="de-DE" w:eastAsia="cs-CZ"/>
        </w:rPr>
        <w:t>,Versteinerter</w:t>
      </w:r>
      <w:proofErr w:type="gramEnd"/>
      <w:r>
        <w:rPr>
          <w:rFonts w:ascii="Times New Roman" w:hAnsi="Times New Roman"/>
          <w:bCs/>
          <w:sz w:val="24"/>
          <w:szCs w:val="24"/>
          <w:lang w:val="de-DE" w:eastAsia="cs-CZ"/>
        </w:rPr>
        <w:t xml:space="preserve"> Hirt‘</w:t>
      </w:r>
      <w:r>
        <w:rPr>
          <w:rFonts w:ascii="Times New Roman" w:hAnsi="Times New Roman"/>
          <w:bCs/>
          <w:sz w:val="24"/>
          <w:szCs w:val="24"/>
          <w:lang w:eastAsia="cs-CZ"/>
        </w:rPr>
        <w:t xml:space="preserve">) </w:t>
      </w:r>
      <w:r>
        <w:rPr>
          <w:rFonts w:ascii="Times New Roman" w:hAnsi="Times New Roman"/>
          <w:bCs/>
          <w:sz w:val="24"/>
          <w:szCs w:val="24"/>
          <w:lang w:val="de-DE" w:eastAsia="cs-CZ"/>
        </w:rPr>
        <w:t>bei</w:t>
      </w:r>
      <w:r>
        <w:rPr>
          <w:rFonts w:ascii="Times New Roman" w:hAnsi="Times New Roman"/>
          <w:bCs/>
          <w:sz w:val="24"/>
          <w:szCs w:val="24"/>
          <w:lang w:eastAsia="cs-CZ"/>
        </w:rPr>
        <w:t xml:space="preserve"> Klobuky in der Slaný-Region </w:t>
      </w:r>
      <w:r>
        <w:rPr>
          <w:rFonts w:ascii="Times New Roman" w:hAnsi="Times New Roman"/>
          <w:bCs/>
          <w:sz w:val="24"/>
          <w:szCs w:val="24"/>
          <w:lang w:val="de-DE" w:eastAsia="cs-CZ"/>
        </w:rPr>
        <w:t xml:space="preserve">und </w:t>
      </w:r>
      <w:r>
        <w:rPr>
          <w:rFonts w:ascii="Times New Roman" w:hAnsi="Times New Roman"/>
          <w:bCs/>
          <w:i/>
          <w:sz w:val="24"/>
          <w:szCs w:val="24"/>
          <w:lang w:eastAsia="cs-CZ"/>
        </w:rPr>
        <w:t>Zkamenělý mnich</w:t>
      </w:r>
      <w:r>
        <w:rPr>
          <w:rFonts w:ascii="Times New Roman" w:hAnsi="Times New Roman"/>
          <w:bCs/>
          <w:sz w:val="24"/>
          <w:szCs w:val="24"/>
          <w:lang w:eastAsia="cs-CZ"/>
        </w:rPr>
        <w:t xml:space="preserve"> (</w:t>
      </w:r>
      <w:r>
        <w:rPr>
          <w:rFonts w:ascii="Times New Roman" w:hAnsi="Times New Roman"/>
          <w:bCs/>
          <w:sz w:val="24"/>
          <w:szCs w:val="24"/>
          <w:lang w:val="de-DE" w:eastAsia="cs-CZ"/>
        </w:rPr>
        <w:t>,Versteinerter Mönch‘</w:t>
      </w:r>
      <w:r>
        <w:rPr>
          <w:rFonts w:ascii="Times New Roman" w:hAnsi="Times New Roman"/>
          <w:bCs/>
          <w:sz w:val="24"/>
          <w:szCs w:val="24"/>
          <w:lang w:eastAsia="cs-CZ"/>
        </w:rPr>
        <w:t xml:space="preserve">) </w:t>
      </w:r>
      <w:r>
        <w:rPr>
          <w:rFonts w:ascii="Times New Roman" w:hAnsi="Times New Roman"/>
          <w:bCs/>
          <w:sz w:val="24"/>
          <w:szCs w:val="24"/>
          <w:lang w:val="de-DE" w:eastAsia="cs-CZ"/>
        </w:rPr>
        <w:t>bei</w:t>
      </w:r>
      <w:r>
        <w:rPr>
          <w:rFonts w:ascii="Times New Roman" w:hAnsi="Times New Roman"/>
          <w:bCs/>
          <w:sz w:val="24"/>
          <w:szCs w:val="24"/>
          <w:lang w:eastAsia="cs-CZ"/>
        </w:rPr>
        <w:t xml:space="preserve"> </w:t>
      </w:r>
      <w:proofErr w:type="spellStart"/>
      <w:r>
        <w:rPr>
          <w:rFonts w:ascii="Times New Roman" w:hAnsi="Times New Roman"/>
          <w:bCs/>
          <w:sz w:val="24"/>
          <w:szCs w:val="24"/>
          <w:lang w:eastAsia="cs-CZ"/>
        </w:rPr>
        <w:t>Drahomyšl</w:t>
      </w:r>
      <w:proofErr w:type="spellEnd"/>
      <w:r>
        <w:rPr>
          <w:rFonts w:ascii="Times New Roman" w:hAnsi="Times New Roman"/>
          <w:bCs/>
          <w:sz w:val="24"/>
          <w:szCs w:val="24"/>
          <w:lang w:eastAsia="cs-CZ"/>
        </w:rPr>
        <w:t xml:space="preserve"> in der Louny-Region. </w:t>
      </w:r>
      <w:r>
        <w:rPr>
          <w:rFonts w:ascii="Times New Roman" w:hAnsi="Times New Roman"/>
          <w:bCs/>
          <w:sz w:val="24"/>
          <w:szCs w:val="24"/>
          <w:lang w:val="de-DE" w:eastAsia="cs-CZ"/>
        </w:rPr>
        <w:t xml:space="preserve">In der Nähe von Prag findet man kleinere Menhire in </w:t>
      </w:r>
      <w:proofErr w:type="spellStart"/>
      <w:r>
        <w:rPr>
          <w:rFonts w:ascii="Times New Roman" w:hAnsi="Times New Roman"/>
          <w:bCs/>
          <w:sz w:val="24"/>
          <w:szCs w:val="24"/>
          <w:lang w:val="de-DE" w:eastAsia="cs-CZ"/>
        </w:rPr>
        <w:t>Horoměřice</w:t>
      </w:r>
      <w:proofErr w:type="spellEnd"/>
      <w:r>
        <w:rPr>
          <w:rFonts w:ascii="Times New Roman" w:hAnsi="Times New Roman"/>
          <w:bCs/>
          <w:sz w:val="24"/>
          <w:szCs w:val="24"/>
          <w:lang w:val="de-DE" w:eastAsia="cs-CZ"/>
        </w:rPr>
        <w:t xml:space="preserve"> und in </w:t>
      </w:r>
      <w:proofErr w:type="spellStart"/>
      <w:r>
        <w:rPr>
          <w:rFonts w:ascii="Times New Roman" w:hAnsi="Times New Roman"/>
          <w:bCs/>
          <w:sz w:val="24"/>
          <w:szCs w:val="24"/>
          <w:lang w:val="de-DE" w:eastAsia="cs-CZ"/>
        </w:rPr>
        <w:t>Zbuzany</w:t>
      </w:r>
      <w:proofErr w:type="spellEnd"/>
      <w:r>
        <w:rPr>
          <w:rFonts w:ascii="Times New Roman" w:hAnsi="Times New Roman"/>
          <w:bCs/>
          <w:sz w:val="24"/>
          <w:szCs w:val="24"/>
          <w:lang w:val="de-DE" w:eastAsia="cs-CZ"/>
        </w:rPr>
        <w:t xml:space="preserve">. Sie sind von verschiedensten Sagen und Mythen umwoben (z. B. heilsame Wirkung, Rückkehr der Fruchtbarkeit oder Schmerzlinderung), was den Legenden von britischen und bretonischen Menhiren entspricht. Kinderlose Ehepaare beten vor Steinen u.a. in Indien </w:t>
      </w:r>
      <w:r>
        <w:rPr>
          <w:rFonts w:ascii="Times New Roman" w:hAnsi="Times New Roman"/>
          <w:bCs/>
          <w:sz w:val="24"/>
          <w:szCs w:val="24"/>
          <w:lang w:eastAsia="cs-CZ"/>
        </w:rPr>
        <w:t>(</w:t>
      </w:r>
      <w:proofErr w:type="spellStart"/>
      <w:r>
        <w:rPr>
          <w:rFonts w:ascii="Times New Roman" w:hAnsi="Times New Roman"/>
          <w:bCs/>
          <w:sz w:val="24"/>
          <w:szCs w:val="24"/>
          <w:lang w:eastAsia="cs-CZ"/>
        </w:rPr>
        <w:t>Cílek</w:t>
      </w:r>
      <w:proofErr w:type="spellEnd"/>
      <w:r>
        <w:rPr>
          <w:rFonts w:ascii="Times New Roman" w:hAnsi="Times New Roman"/>
          <w:bCs/>
          <w:sz w:val="24"/>
          <w:szCs w:val="24"/>
          <w:lang w:eastAsia="cs-CZ"/>
        </w:rPr>
        <w:t xml:space="preserve"> 2014:  89). </w:t>
      </w:r>
      <w:r>
        <w:rPr>
          <w:rFonts w:ascii="Times New Roman" w:hAnsi="Times New Roman"/>
          <w:bCs/>
          <w:sz w:val="24"/>
          <w:szCs w:val="24"/>
          <w:lang w:val="de-DE" w:eastAsia="cs-CZ"/>
        </w:rPr>
        <w:t xml:space="preserve">Auf dem Gebiet der Hauptstadt Prag befindet sich ein einziger </w:t>
      </w:r>
      <w:r>
        <w:rPr>
          <w:rFonts w:ascii="Times New Roman" w:hAnsi="Times New Roman"/>
          <w:bCs/>
          <w:sz w:val="24"/>
          <w:szCs w:val="24"/>
          <w:lang w:val="de-DE" w:eastAsia="cs-CZ"/>
        </w:rPr>
        <w:lastRenderedPageBreak/>
        <w:t xml:space="preserve">Menhir in </w:t>
      </w:r>
      <w:proofErr w:type="spellStart"/>
      <w:r>
        <w:rPr>
          <w:rFonts w:ascii="Times New Roman" w:hAnsi="Times New Roman"/>
          <w:bCs/>
          <w:sz w:val="24"/>
          <w:szCs w:val="24"/>
          <w:lang w:val="de-DE" w:eastAsia="cs-CZ"/>
        </w:rPr>
        <w:t>Dolní</w:t>
      </w:r>
      <w:proofErr w:type="spellEnd"/>
      <w:r>
        <w:rPr>
          <w:rFonts w:ascii="Times New Roman" w:hAnsi="Times New Roman"/>
          <w:bCs/>
          <w:sz w:val="24"/>
          <w:szCs w:val="24"/>
          <w:lang w:val="de-DE" w:eastAsia="cs-CZ"/>
        </w:rPr>
        <w:t xml:space="preserve"> </w:t>
      </w:r>
      <w:proofErr w:type="spellStart"/>
      <w:r>
        <w:rPr>
          <w:rFonts w:ascii="Times New Roman" w:hAnsi="Times New Roman"/>
          <w:bCs/>
          <w:sz w:val="24"/>
          <w:szCs w:val="24"/>
          <w:lang w:val="de-DE" w:eastAsia="cs-CZ"/>
        </w:rPr>
        <w:t>Chabry</w:t>
      </w:r>
      <w:proofErr w:type="spellEnd"/>
      <w:r>
        <w:rPr>
          <w:rFonts w:ascii="Times New Roman" w:hAnsi="Times New Roman"/>
          <w:bCs/>
          <w:sz w:val="24"/>
          <w:szCs w:val="24"/>
          <w:lang w:val="de-DE" w:eastAsia="cs-CZ"/>
        </w:rPr>
        <w:t xml:space="preserve">. Wegen seiner Ähnlichkeit mit einer geneigten männlichen Gestalt wurde er </w:t>
      </w:r>
      <w:r>
        <w:rPr>
          <w:rFonts w:ascii="Times New Roman" w:hAnsi="Times New Roman"/>
          <w:bCs/>
          <w:i/>
          <w:sz w:val="24"/>
          <w:szCs w:val="24"/>
          <w:lang w:eastAsia="cs-CZ"/>
        </w:rPr>
        <w:t>Zkamenělý sluha</w:t>
      </w:r>
      <w:r>
        <w:rPr>
          <w:rFonts w:ascii="Times New Roman" w:hAnsi="Times New Roman"/>
          <w:bCs/>
          <w:sz w:val="24"/>
          <w:szCs w:val="24"/>
          <w:lang w:eastAsia="cs-CZ"/>
        </w:rPr>
        <w:t xml:space="preserve"> (</w:t>
      </w:r>
      <w:proofErr w:type="gramStart"/>
      <w:r>
        <w:rPr>
          <w:rFonts w:ascii="Times New Roman" w:hAnsi="Times New Roman"/>
          <w:bCs/>
          <w:sz w:val="24"/>
          <w:szCs w:val="24"/>
          <w:lang w:val="de-DE" w:eastAsia="cs-CZ"/>
        </w:rPr>
        <w:t>,Versteinerter</w:t>
      </w:r>
      <w:proofErr w:type="gramEnd"/>
      <w:r>
        <w:rPr>
          <w:rFonts w:ascii="Times New Roman" w:hAnsi="Times New Roman"/>
          <w:bCs/>
          <w:sz w:val="24"/>
          <w:szCs w:val="24"/>
          <w:lang w:val="de-DE" w:eastAsia="cs-CZ"/>
        </w:rPr>
        <w:t xml:space="preserve"> Diener‘</w:t>
      </w:r>
      <w:r>
        <w:rPr>
          <w:rFonts w:ascii="Times New Roman" w:hAnsi="Times New Roman"/>
          <w:bCs/>
          <w:sz w:val="24"/>
          <w:szCs w:val="24"/>
          <w:lang w:eastAsia="cs-CZ"/>
        </w:rPr>
        <w:t xml:space="preserve">) </w:t>
      </w:r>
      <w:r>
        <w:rPr>
          <w:rFonts w:ascii="Times New Roman" w:hAnsi="Times New Roman"/>
          <w:bCs/>
          <w:sz w:val="24"/>
          <w:szCs w:val="24"/>
          <w:lang w:val="de-DE" w:eastAsia="cs-CZ"/>
        </w:rPr>
        <w:t xml:space="preserve">benannt. Bis in die 30er Jahre des 20. Jh. stand er einsam nahe der Kreuzung von alten Wegen, und – wie auch für andere Menhire typisch ist – bot eine merkwürdige Aussicht in die Landschaft; zurzeit ist er von Einfamilienhäusern umgeben. Es wird angenommen, dass er geometrische Beziehungen und Zusammenhänge mit der Sommer- und Wintersonnenwende reflektierte und dass er in der Landschaft einen gewissen „Horizontkalender“ bildete </w:t>
      </w:r>
      <w:r>
        <w:rPr>
          <w:rFonts w:ascii="Times New Roman" w:hAnsi="Times New Roman"/>
          <w:bCs/>
          <w:sz w:val="24"/>
          <w:szCs w:val="24"/>
          <w:lang w:eastAsia="cs-CZ"/>
        </w:rPr>
        <w:t xml:space="preserve">(Mrňavá/Snížková 2006: 1). </w:t>
      </w:r>
    </w:p>
    <w:p w:rsidR="001C7F2D" w:rsidRDefault="001C7F2D" w:rsidP="001C7F2D">
      <w:pPr>
        <w:spacing w:after="0" w:line="432" w:lineRule="auto"/>
        <w:outlineLvl w:val="1"/>
        <w:rPr>
          <w:rFonts w:ascii="Times New Roman" w:hAnsi="Times New Roman"/>
          <w:bCs/>
          <w:sz w:val="24"/>
          <w:szCs w:val="24"/>
          <w:lang w:eastAsia="cs-CZ"/>
        </w:rPr>
      </w:pPr>
      <w:r>
        <w:rPr>
          <w:rFonts w:ascii="Times New Roman" w:hAnsi="Times New Roman"/>
          <w:bCs/>
          <w:sz w:val="24"/>
          <w:szCs w:val="24"/>
          <w:lang w:eastAsia="cs-CZ"/>
        </w:rPr>
        <w:t>D.</w:t>
      </w:r>
    </w:p>
    <w:p w:rsidR="001C7F2D" w:rsidRDefault="001C7F2D" w:rsidP="001C7F2D">
      <w:pPr>
        <w:spacing w:after="0" w:line="432" w:lineRule="auto"/>
        <w:outlineLvl w:val="1"/>
        <w:rPr>
          <w:rFonts w:ascii="Times New Roman" w:hAnsi="Times New Roman"/>
          <w:bCs/>
          <w:sz w:val="24"/>
          <w:szCs w:val="24"/>
          <w:lang w:val="de-DE" w:eastAsia="cs-CZ"/>
        </w:rPr>
      </w:pPr>
      <w:r>
        <w:rPr>
          <w:rFonts w:ascii="Times New Roman" w:hAnsi="Times New Roman"/>
          <w:bCs/>
          <w:sz w:val="24"/>
          <w:szCs w:val="24"/>
          <w:lang w:val="de-DE" w:eastAsia="cs-CZ"/>
        </w:rPr>
        <w:t xml:space="preserve">Die absichtlich aus Steinen geschaffenen Linien bezeichnet man als Steinreihen. Ihr bekanntester Beleg sind die Steinreihen im bretonischen </w:t>
      </w:r>
      <w:proofErr w:type="spellStart"/>
      <w:r>
        <w:rPr>
          <w:rFonts w:ascii="Times New Roman" w:hAnsi="Times New Roman"/>
          <w:bCs/>
          <w:sz w:val="24"/>
          <w:szCs w:val="24"/>
          <w:lang w:val="de-DE" w:eastAsia="cs-CZ"/>
        </w:rPr>
        <w:t>Carnac</w:t>
      </w:r>
      <w:proofErr w:type="spellEnd"/>
      <w:r>
        <w:rPr>
          <w:rFonts w:ascii="Times New Roman" w:hAnsi="Times New Roman"/>
          <w:bCs/>
          <w:sz w:val="24"/>
          <w:szCs w:val="24"/>
          <w:lang w:val="de-DE" w:eastAsia="cs-CZ"/>
        </w:rPr>
        <w:t xml:space="preserve">, auf dem tschechischen Gebiet sind das </w:t>
      </w:r>
      <w:proofErr w:type="spellStart"/>
      <w:r>
        <w:rPr>
          <w:rFonts w:ascii="Times New Roman" w:hAnsi="Times New Roman"/>
          <w:bCs/>
          <w:i/>
          <w:sz w:val="24"/>
          <w:szCs w:val="24"/>
          <w:lang w:val="de-DE" w:eastAsia="cs-CZ"/>
        </w:rPr>
        <w:t>Kounovské</w:t>
      </w:r>
      <w:proofErr w:type="spellEnd"/>
      <w:r>
        <w:rPr>
          <w:rFonts w:ascii="Times New Roman" w:hAnsi="Times New Roman"/>
          <w:bCs/>
          <w:i/>
          <w:sz w:val="24"/>
          <w:szCs w:val="24"/>
          <w:lang w:val="de-DE" w:eastAsia="cs-CZ"/>
        </w:rPr>
        <w:t xml:space="preserve"> </w:t>
      </w:r>
      <w:proofErr w:type="spellStart"/>
      <w:r>
        <w:rPr>
          <w:rFonts w:ascii="Times New Roman" w:hAnsi="Times New Roman"/>
          <w:bCs/>
          <w:i/>
          <w:sz w:val="24"/>
          <w:szCs w:val="24"/>
          <w:lang w:val="de-DE" w:eastAsia="cs-CZ"/>
        </w:rPr>
        <w:t>kamenné</w:t>
      </w:r>
      <w:proofErr w:type="spellEnd"/>
      <w:r>
        <w:rPr>
          <w:rFonts w:ascii="Times New Roman" w:hAnsi="Times New Roman"/>
          <w:bCs/>
          <w:i/>
          <w:sz w:val="24"/>
          <w:szCs w:val="24"/>
          <w:lang w:val="de-DE" w:eastAsia="cs-CZ"/>
        </w:rPr>
        <w:t xml:space="preserve"> </w:t>
      </w:r>
      <w:proofErr w:type="spellStart"/>
      <w:r>
        <w:rPr>
          <w:rFonts w:ascii="Times New Roman" w:hAnsi="Times New Roman"/>
          <w:bCs/>
          <w:i/>
          <w:sz w:val="24"/>
          <w:szCs w:val="24"/>
          <w:lang w:val="de-DE" w:eastAsia="cs-CZ"/>
        </w:rPr>
        <w:t>řady</w:t>
      </w:r>
      <w:proofErr w:type="spellEnd"/>
      <w:r>
        <w:rPr>
          <w:rFonts w:ascii="Times New Roman" w:hAnsi="Times New Roman"/>
          <w:bCs/>
          <w:sz w:val="24"/>
          <w:szCs w:val="24"/>
          <w:lang w:val="de-DE" w:eastAsia="cs-CZ"/>
        </w:rPr>
        <w:t xml:space="preserve"> </w:t>
      </w:r>
      <w:r>
        <w:rPr>
          <w:rFonts w:ascii="Times New Roman" w:hAnsi="Times New Roman"/>
          <w:bCs/>
          <w:sz w:val="24"/>
          <w:szCs w:val="24"/>
          <w:lang w:eastAsia="cs-CZ"/>
        </w:rPr>
        <w:t>(</w:t>
      </w:r>
      <w:proofErr w:type="gramStart"/>
      <w:r>
        <w:rPr>
          <w:rFonts w:ascii="Times New Roman" w:hAnsi="Times New Roman"/>
          <w:bCs/>
          <w:sz w:val="24"/>
          <w:szCs w:val="24"/>
          <w:lang w:val="de-DE" w:eastAsia="cs-CZ"/>
        </w:rPr>
        <w:t>,</w:t>
      </w:r>
      <w:proofErr w:type="spellStart"/>
      <w:r>
        <w:rPr>
          <w:rFonts w:ascii="Times New Roman" w:hAnsi="Times New Roman"/>
          <w:bCs/>
          <w:sz w:val="24"/>
          <w:szCs w:val="24"/>
          <w:lang w:val="de-DE" w:eastAsia="cs-CZ"/>
        </w:rPr>
        <w:t>Kounov</w:t>
      </w:r>
      <w:proofErr w:type="spellEnd"/>
      <w:proofErr w:type="gramEnd"/>
      <w:r>
        <w:rPr>
          <w:rFonts w:ascii="Times New Roman" w:hAnsi="Times New Roman"/>
          <w:bCs/>
          <w:sz w:val="24"/>
          <w:szCs w:val="24"/>
          <w:lang w:val="de-DE" w:eastAsia="cs-CZ"/>
        </w:rPr>
        <w:t>-Steinreihen‘</w:t>
      </w:r>
      <w:r>
        <w:rPr>
          <w:rFonts w:ascii="Times New Roman" w:hAnsi="Times New Roman"/>
          <w:bCs/>
          <w:sz w:val="24"/>
          <w:szCs w:val="24"/>
          <w:lang w:eastAsia="cs-CZ"/>
        </w:rPr>
        <w:t xml:space="preserve">) </w:t>
      </w:r>
      <w:r>
        <w:rPr>
          <w:rFonts w:ascii="Times New Roman" w:hAnsi="Times New Roman"/>
          <w:bCs/>
          <w:sz w:val="24"/>
          <w:szCs w:val="24"/>
          <w:lang w:val="de-DE" w:eastAsia="cs-CZ"/>
        </w:rPr>
        <w:t>bei</w:t>
      </w:r>
      <w:r>
        <w:rPr>
          <w:rFonts w:ascii="Times New Roman" w:hAnsi="Times New Roman"/>
          <w:bCs/>
          <w:sz w:val="24"/>
          <w:szCs w:val="24"/>
          <w:lang w:eastAsia="cs-CZ"/>
        </w:rPr>
        <w:t xml:space="preserve"> Mutějovice. </w:t>
      </w:r>
      <w:r>
        <w:rPr>
          <w:rFonts w:ascii="Times New Roman" w:hAnsi="Times New Roman"/>
          <w:bCs/>
          <w:sz w:val="24"/>
          <w:szCs w:val="24"/>
          <w:lang w:val="de-DE" w:eastAsia="cs-CZ"/>
        </w:rPr>
        <w:t xml:space="preserve">Es wird spekuliert, dass man durch die Reihen ging und dass sich in Gehegen heilige Rituale vollzogen. </w:t>
      </w:r>
      <w:proofErr w:type="spellStart"/>
      <w:r>
        <w:rPr>
          <w:rFonts w:ascii="Times New Roman" w:hAnsi="Times New Roman"/>
          <w:bCs/>
          <w:sz w:val="24"/>
          <w:szCs w:val="24"/>
          <w:lang w:val="de-DE" w:eastAsia="cs-CZ"/>
        </w:rPr>
        <w:t>Cílek</w:t>
      </w:r>
      <w:proofErr w:type="spellEnd"/>
      <w:r>
        <w:rPr>
          <w:rFonts w:ascii="Times New Roman" w:hAnsi="Times New Roman"/>
          <w:bCs/>
          <w:sz w:val="24"/>
          <w:szCs w:val="24"/>
          <w:lang w:val="de-DE" w:eastAsia="cs-CZ"/>
        </w:rPr>
        <w:t xml:space="preserve"> sieht bei europäischen Reihen im Unterschied zu der idealen Geometrie des alten Ägyptens eine „ökologische“ Unberechenbarkeit, da sie das Landschaftsrelief respektieren </w:t>
      </w:r>
      <w:r>
        <w:rPr>
          <w:rFonts w:ascii="Times New Roman" w:hAnsi="Times New Roman"/>
          <w:bCs/>
          <w:sz w:val="24"/>
          <w:szCs w:val="24"/>
          <w:lang w:eastAsia="cs-CZ"/>
        </w:rPr>
        <w:t>(2014: 19</w:t>
      </w:r>
      <w:r>
        <w:rPr>
          <w:rFonts w:ascii="Times New Roman" w:hAnsi="Times New Roman"/>
          <w:bCs/>
          <w:sz w:val="24"/>
          <w:szCs w:val="24"/>
          <w:lang w:val="de-DE" w:eastAsia="cs-CZ"/>
        </w:rPr>
        <w:t xml:space="preserve">). </w:t>
      </w:r>
    </w:p>
    <w:p w:rsidR="001C7F2D" w:rsidRDefault="001C7F2D" w:rsidP="001C7F2D">
      <w:pPr>
        <w:spacing w:after="0" w:line="432" w:lineRule="auto"/>
        <w:outlineLvl w:val="1"/>
        <w:rPr>
          <w:rFonts w:ascii="Times New Roman" w:hAnsi="Times New Roman"/>
          <w:bCs/>
          <w:sz w:val="24"/>
          <w:szCs w:val="24"/>
          <w:lang w:val="de-DE" w:eastAsia="cs-CZ"/>
        </w:rPr>
      </w:pPr>
      <w:r>
        <w:rPr>
          <w:rFonts w:ascii="Times New Roman" w:hAnsi="Times New Roman"/>
          <w:bCs/>
          <w:sz w:val="24"/>
          <w:szCs w:val="24"/>
          <w:lang w:val="de-DE" w:eastAsia="cs-CZ"/>
        </w:rPr>
        <w:t>E.</w:t>
      </w:r>
    </w:p>
    <w:p w:rsidR="00D11C30" w:rsidRDefault="001C7F2D" w:rsidP="001C7F2D">
      <w:pPr>
        <w:spacing w:after="0" w:line="432" w:lineRule="auto"/>
        <w:outlineLvl w:val="1"/>
      </w:pPr>
      <w:r>
        <w:rPr>
          <w:rFonts w:ascii="Times New Roman" w:hAnsi="Times New Roman"/>
          <w:bCs/>
          <w:sz w:val="24"/>
          <w:szCs w:val="24"/>
          <w:lang w:val="de-DE" w:eastAsia="cs-CZ"/>
        </w:rPr>
        <w:t xml:space="preserve">Die Steingruppen zeichnen sich durch die Kombination von Regelmäßigkeit und Unregelmäßigkeit aus. Ein Beispiel davon ist der </w:t>
      </w:r>
      <w:proofErr w:type="spellStart"/>
      <w:r>
        <w:rPr>
          <w:rFonts w:ascii="Times New Roman" w:hAnsi="Times New Roman"/>
          <w:bCs/>
          <w:i/>
          <w:sz w:val="24"/>
          <w:szCs w:val="24"/>
          <w:lang w:val="de-DE" w:eastAsia="cs-CZ"/>
        </w:rPr>
        <w:t>Boitiner</w:t>
      </w:r>
      <w:proofErr w:type="spellEnd"/>
      <w:r>
        <w:rPr>
          <w:rFonts w:ascii="Times New Roman" w:hAnsi="Times New Roman"/>
          <w:bCs/>
          <w:i/>
          <w:sz w:val="24"/>
          <w:szCs w:val="24"/>
          <w:lang w:val="de-DE" w:eastAsia="cs-CZ"/>
        </w:rPr>
        <w:t xml:space="preserve"> Steintanz</w:t>
      </w:r>
      <w:r>
        <w:rPr>
          <w:rFonts w:ascii="Times New Roman" w:hAnsi="Times New Roman"/>
          <w:bCs/>
          <w:sz w:val="24"/>
          <w:szCs w:val="24"/>
          <w:lang w:val="de-DE" w:eastAsia="cs-CZ"/>
        </w:rPr>
        <w:t xml:space="preserve"> im Bundesland Mecklenburg-Vorpommern. Die Faszination von mysteriösen Menhiren und Steingruppen macht sich auch in der heutigen Zeit bemerkbar, wo Banken, Hotels, Bauernhöfe und esoterisch veranlagte Menschen in ihren Gärten oder auf ihren Geländen Steine aufstellen; genannt seien die neomegalithische Gruppierung </w:t>
      </w:r>
      <w:r>
        <w:rPr>
          <w:rFonts w:ascii="Times New Roman" w:hAnsi="Times New Roman"/>
          <w:bCs/>
          <w:i/>
          <w:sz w:val="24"/>
          <w:szCs w:val="24"/>
          <w:lang w:val="de-DE" w:eastAsia="cs-CZ"/>
        </w:rPr>
        <w:t>Große Basilika</w:t>
      </w:r>
      <w:r>
        <w:rPr>
          <w:rFonts w:ascii="Times New Roman" w:hAnsi="Times New Roman"/>
          <w:bCs/>
          <w:sz w:val="24"/>
          <w:szCs w:val="24"/>
          <w:lang w:val="de-DE" w:eastAsia="cs-CZ"/>
        </w:rPr>
        <w:t xml:space="preserve"> bei </w:t>
      </w:r>
      <w:proofErr w:type="spellStart"/>
      <w:r>
        <w:rPr>
          <w:rFonts w:ascii="Times New Roman" w:hAnsi="Times New Roman"/>
          <w:bCs/>
          <w:sz w:val="24"/>
          <w:szCs w:val="24"/>
          <w:lang w:val="de-DE" w:eastAsia="cs-CZ"/>
        </w:rPr>
        <w:t>Waidhofen</w:t>
      </w:r>
      <w:proofErr w:type="spellEnd"/>
      <w:r>
        <w:rPr>
          <w:rFonts w:ascii="Times New Roman" w:hAnsi="Times New Roman"/>
          <w:bCs/>
          <w:sz w:val="24"/>
          <w:szCs w:val="24"/>
          <w:lang w:val="de-DE" w:eastAsia="cs-CZ"/>
        </w:rPr>
        <w:t xml:space="preserve"> an der Thaya in Österreich oder der </w:t>
      </w:r>
      <w:proofErr w:type="spellStart"/>
      <w:r>
        <w:rPr>
          <w:rFonts w:ascii="Times New Roman" w:hAnsi="Times New Roman"/>
          <w:bCs/>
          <w:i/>
          <w:sz w:val="24"/>
          <w:szCs w:val="24"/>
          <w:lang w:val="de-DE" w:eastAsia="cs-CZ"/>
        </w:rPr>
        <w:t>Lichtenhäger</w:t>
      </w:r>
      <w:proofErr w:type="spellEnd"/>
      <w:r>
        <w:rPr>
          <w:rFonts w:ascii="Times New Roman" w:hAnsi="Times New Roman"/>
          <w:bCs/>
          <w:i/>
          <w:sz w:val="24"/>
          <w:szCs w:val="24"/>
          <w:lang w:val="de-DE" w:eastAsia="cs-CZ"/>
        </w:rPr>
        <w:t xml:space="preserve"> Findlingsgarten</w:t>
      </w:r>
      <w:r>
        <w:rPr>
          <w:rFonts w:ascii="Times New Roman" w:hAnsi="Times New Roman"/>
          <w:bCs/>
          <w:sz w:val="24"/>
          <w:szCs w:val="24"/>
          <w:lang w:val="de-DE" w:eastAsia="cs-CZ"/>
        </w:rPr>
        <w:t xml:space="preserve"> im Dorf Lichtenhagen bei Rostock mit den die Tierkreiszeichen darstellenden Steinen. Der ästhetische Wert von solchen modernen Steingruppen ist nicht immer unumstritten, derartige Gebilde wirken manchmal eher als spießige Zurschaustellung denn als Bemühung um Suche nach Tradition, ganz geschweige davon, dass die Landschaft die Steine in ihrer natürlichen Lage verliert. Eins steht fest: aufrecht stehende Steine wirken auf menschliche Emotionen und wecken die Imagination der Passanten.</w:t>
      </w:r>
      <w:bookmarkStart w:id="0" w:name="_GoBack"/>
      <w:bookmarkEnd w:id="0"/>
    </w:p>
    <w:sectPr w:rsidR="00D11C30" w:rsidSect="001C7F2D">
      <w:pgSz w:w="11906" w:h="16838"/>
      <w:pgMar w:top="1418" w:right="1418"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2"/>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7F2D"/>
    <w:rsid w:val="001C7F2D"/>
    <w:rsid w:val="00D11C3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5A1F9CD-B007-47A1-8652-AC680BB8CA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1C7F2D"/>
    <w:pPr>
      <w:spacing w:line="256" w:lineRule="auto"/>
    </w:pPr>
    <w:rPr>
      <w:rFonts w:ascii="Calibri" w:eastAsia="Times New Roman"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0559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620</Words>
  <Characters>3661</Characters>
  <Application>Microsoft Office Word</Application>
  <DocSecurity>0</DocSecurity>
  <Lines>30</Lines>
  <Paragraphs>8</Paragraphs>
  <ScaleCrop>false</ScaleCrop>
  <Company>Městská část Praha 10</Company>
  <LinksUpToDate>false</LinksUpToDate>
  <CharactersWithSpaces>4273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ZMČ Vávra Zdeněk, Ing. (ÚMČ Praha 10)</dc:creator>
  <cp:keywords/>
  <dc:description/>
  <cp:lastModifiedBy>ZMČ Vávra Zdeněk, Ing. (ÚMČ Praha 10)</cp:lastModifiedBy>
  <cp:revision>1</cp:revision>
  <dcterms:created xsi:type="dcterms:W3CDTF">2016-05-26T18:03:00Z</dcterms:created>
  <dcterms:modified xsi:type="dcterms:W3CDTF">2016-05-26T18:08:00Z</dcterms:modified>
</cp:coreProperties>
</file>